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2E707">
      <w:pPr>
        <w:wordWrap w:val="0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1938020" cy="849630"/>
            <wp:effectExtent l="0" t="0" r="5080" b="1270"/>
            <wp:docPr id="6" name="图片 1" descr="772~1O4HXZEI_K7XGVEJ3Z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772~1O4HXZEI_K7XGVEJ3Z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38020" cy="84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</w:rPr>
        <w:t xml:space="preserve">    </w:t>
      </w:r>
    </w:p>
    <w:p w14:paraId="2BB2926C">
      <w:pPr>
        <w:spacing w:before="624" w:beforeLines="200" w:line="360" w:lineRule="auto"/>
        <w:jc w:val="center"/>
        <w:rPr>
          <w:rFonts w:ascii="宋体" w:hAnsi="宋体"/>
          <w:b/>
          <w:spacing w:val="40"/>
          <w:sz w:val="52"/>
          <w:szCs w:val="52"/>
        </w:rPr>
      </w:pPr>
      <w:r>
        <w:rPr>
          <w:rFonts w:hint="eastAsia" w:ascii="宋体" w:hAnsi="宋体"/>
          <w:b/>
          <w:spacing w:val="40"/>
          <w:sz w:val="52"/>
          <w:szCs w:val="52"/>
        </w:rPr>
        <w:t>中华人民共和国国家计量技术规范</w:t>
      </w:r>
    </w:p>
    <w:p w14:paraId="5B6A8103">
      <w:pPr>
        <w:jc w:val="center"/>
        <w:rPr>
          <w:rFonts w:eastAsia="方正大标宋简体"/>
          <w:sz w:val="24"/>
        </w:rPr>
      </w:pPr>
    </w:p>
    <w:p w14:paraId="102496D5">
      <w:pPr>
        <w:spacing w:line="420" w:lineRule="exact"/>
        <w:ind w:firstLine="4760" w:firstLineChars="1700"/>
        <w:rPr>
          <w:rFonts w:ascii="黑体" w:hAnsi="黑体" w:eastAsia="黑体"/>
          <w:sz w:val="28"/>
        </w:rPr>
      </w:pPr>
      <w:bookmarkStart w:id="0" w:name="_Toc514316609"/>
      <w:r>
        <w:rPr>
          <w:rFonts w:hint="eastAsia"/>
          <w:sz w:val="28"/>
        </w:rPr>
        <w:t xml:space="preserve">        </w:t>
      </w:r>
      <w:r>
        <w:rPr>
          <w:rFonts w:hint="eastAsia" w:ascii="黑体" w:hAnsi="黑体" w:eastAsia="黑体"/>
          <w:sz w:val="28"/>
        </w:rPr>
        <w:t xml:space="preserve"> </w:t>
      </w:r>
      <w:bookmarkStart w:id="1" w:name="_Toc529806650"/>
      <w:bookmarkStart w:id="2" w:name="_Toc13876"/>
      <w:bookmarkStart w:id="3" w:name="_Toc101281453"/>
      <w:bookmarkStart w:id="4" w:name="_Toc54707736"/>
      <w:bookmarkStart w:id="5" w:name="_Toc101442443"/>
      <w:r>
        <w:rPr>
          <w:rFonts w:hint="eastAsia" w:ascii="黑体" w:hAnsi="黑体" w:eastAsia="黑体"/>
          <w:sz w:val="28"/>
        </w:rPr>
        <w:t>JJF XXXX-XXXX</w:t>
      </w:r>
      <w:bookmarkEnd w:id="0"/>
      <w:bookmarkEnd w:id="1"/>
      <w:bookmarkEnd w:id="2"/>
      <w:bookmarkEnd w:id="3"/>
      <w:bookmarkEnd w:id="4"/>
      <w:bookmarkEnd w:id="5"/>
    </w:p>
    <w:p w14:paraId="1A457F2E">
      <w:pPr>
        <w:rPr>
          <w:rFonts w:eastAsia="方正大标宋简体"/>
          <w:sz w:val="24"/>
        </w:rPr>
      </w:pPr>
    </w:p>
    <w:p w14:paraId="480D671D">
      <w:pPr>
        <w:rPr>
          <w:rFonts w:eastAsia="方正大标宋简体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221730" cy="0"/>
                <wp:effectExtent l="0" t="9525" r="1270" b="9525"/>
                <wp:wrapNone/>
                <wp:docPr id="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8pt;margin-top:0pt;height:0pt;width:489.9pt;z-index:251661312;mso-width-relative:page;mso-height-relative:page;" filled="f" stroked="t" coordsize="21600,21600" o:gfxdata="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Mky6vUAAAABQEAAA8AAAAA&#10;AAAAAQAgAAAAIgAAAGRycy9kb3ducmV2LnhtbFBLAQIUABQAAAAIAIdO4kCYk4DF3wEAANADAAAO&#10;AAAAAAAAAAEAIAAAACMBAABkcnMvZTJvRG9jLnhtbFBLBQYAAAAABgAGAFkBAAB0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9DA1570">
      <w:pPr>
        <w:rPr>
          <w:color w:val="000000"/>
          <w:sz w:val="24"/>
          <w:szCs w:val="24"/>
        </w:rPr>
      </w:pPr>
    </w:p>
    <w:p w14:paraId="5CFAB873">
      <w:pPr>
        <w:rPr>
          <w:color w:val="000000"/>
          <w:sz w:val="24"/>
          <w:szCs w:val="24"/>
        </w:rPr>
      </w:pPr>
    </w:p>
    <w:p w14:paraId="3F532500">
      <w:pPr>
        <w:rPr>
          <w:color w:val="000000"/>
          <w:sz w:val="24"/>
          <w:szCs w:val="24"/>
        </w:rPr>
      </w:pPr>
    </w:p>
    <w:p w14:paraId="24833186">
      <w:pPr>
        <w:rPr>
          <w:color w:val="000000"/>
          <w:sz w:val="24"/>
          <w:szCs w:val="24"/>
        </w:rPr>
      </w:pPr>
    </w:p>
    <w:p w14:paraId="21151B56">
      <w:pPr>
        <w:jc w:val="center"/>
        <w:rPr>
          <w:rFonts w:hint="eastAsia" w:ascii="黑体" w:hAnsi="黑体" w:eastAsia="黑体" w:cs="黑体"/>
          <w:color w:val="000000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X射线光电子能谱仪校准规范</w:t>
      </w:r>
    </w:p>
    <w:p w14:paraId="2C25F717"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Calibration Specification for X-ray Photoelectron Spectrometer</w:t>
      </w:r>
    </w:p>
    <w:p w14:paraId="5461671A">
      <w:pPr>
        <w:jc w:val="center"/>
        <w:rPr>
          <w:rFonts w:ascii="黑体" w:eastAsia="黑体"/>
          <w:color w:val="000000"/>
          <w:sz w:val="28"/>
          <w:szCs w:val="28"/>
        </w:rPr>
      </w:pPr>
    </w:p>
    <w:p w14:paraId="05D8C8C4">
      <w:pPr>
        <w:jc w:val="center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eastAsia="黑体"/>
          <w:color w:val="000000"/>
          <w:sz w:val="28"/>
          <w:szCs w:val="28"/>
        </w:rPr>
        <w:t>（</w:t>
      </w:r>
      <w:r>
        <w:rPr>
          <w:rFonts w:hint="eastAsia" w:ascii="黑体" w:eastAsia="黑体"/>
          <w:color w:val="000000"/>
          <w:sz w:val="28"/>
          <w:szCs w:val="28"/>
          <w:lang w:val="en-US" w:eastAsia="zh-CN"/>
        </w:rPr>
        <w:t>征求意见</w:t>
      </w:r>
      <w:r>
        <w:rPr>
          <w:rFonts w:hint="eastAsia" w:ascii="黑体" w:eastAsia="黑体"/>
          <w:color w:val="000000"/>
          <w:sz w:val="28"/>
          <w:szCs w:val="28"/>
        </w:rPr>
        <w:t>稿）</w:t>
      </w:r>
    </w:p>
    <w:p w14:paraId="22F1A1EE">
      <w:pPr>
        <w:rPr>
          <w:color w:val="000000"/>
          <w:sz w:val="24"/>
          <w:szCs w:val="24"/>
        </w:rPr>
      </w:pPr>
    </w:p>
    <w:p w14:paraId="61A5F123">
      <w:pPr>
        <w:rPr>
          <w:color w:val="000000"/>
          <w:sz w:val="24"/>
          <w:szCs w:val="24"/>
        </w:rPr>
      </w:pPr>
    </w:p>
    <w:p w14:paraId="1EE54694">
      <w:pPr>
        <w:rPr>
          <w:color w:val="000000"/>
          <w:sz w:val="24"/>
          <w:szCs w:val="24"/>
        </w:rPr>
      </w:pPr>
    </w:p>
    <w:p w14:paraId="0533F89F">
      <w:pPr>
        <w:rPr>
          <w:color w:val="000000"/>
          <w:sz w:val="24"/>
          <w:szCs w:val="24"/>
        </w:rPr>
      </w:pPr>
    </w:p>
    <w:p w14:paraId="25E7A204">
      <w:pPr>
        <w:rPr>
          <w:color w:val="000000"/>
          <w:sz w:val="24"/>
          <w:szCs w:val="24"/>
        </w:rPr>
      </w:pPr>
    </w:p>
    <w:p w14:paraId="05D9CD95">
      <w:pPr>
        <w:rPr>
          <w:color w:val="000000"/>
          <w:sz w:val="24"/>
          <w:szCs w:val="24"/>
        </w:rPr>
      </w:pPr>
    </w:p>
    <w:p w14:paraId="10D7F52A">
      <w:pPr>
        <w:rPr>
          <w:color w:val="000000"/>
          <w:sz w:val="24"/>
          <w:szCs w:val="24"/>
        </w:rPr>
      </w:pPr>
    </w:p>
    <w:p w14:paraId="0F331DEB">
      <w:pPr>
        <w:rPr>
          <w:color w:val="000000"/>
          <w:sz w:val="24"/>
          <w:szCs w:val="24"/>
        </w:rPr>
      </w:pPr>
    </w:p>
    <w:p w14:paraId="7CA04FCE">
      <w:pPr>
        <w:rPr>
          <w:color w:val="000000"/>
          <w:sz w:val="24"/>
          <w:szCs w:val="24"/>
        </w:rPr>
      </w:pPr>
    </w:p>
    <w:p w14:paraId="60AA251F">
      <w:pPr>
        <w:rPr>
          <w:color w:val="000000"/>
          <w:sz w:val="24"/>
          <w:szCs w:val="24"/>
        </w:rPr>
      </w:pPr>
    </w:p>
    <w:p w14:paraId="110BD7EF">
      <w:pPr>
        <w:spacing w:after="156" w:afterLines="50"/>
        <w:rPr>
          <w:rFonts w:ascii="黑体" w:eastAsia="黑体"/>
          <w:b/>
          <w:bCs/>
          <w:sz w:val="28"/>
        </w:rPr>
      </w:pPr>
      <w:bookmarkStart w:id="6" w:name="_Toc511311514"/>
      <w:bookmarkStart w:id="7" w:name="_Toc511320447"/>
      <w:r>
        <w:rPr>
          <w:rFonts w:hint="eastAsia" w:ascii="黑体" w:eastAsia="黑体"/>
          <w:b/>
          <w:bCs/>
          <w:sz w:val="28"/>
        </w:rPr>
        <w:t>XXXX-XX-XX发布</w:t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ab/>
      </w:r>
      <w:r>
        <w:rPr>
          <w:rFonts w:hint="eastAsia" w:ascii="黑体" w:eastAsia="黑体"/>
          <w:b/>
          <w:bCs/>
          <w:sz w:val="28"/>
        </w:rPr>
        <w:t xml:space="preserve">  XXXX-XX-XX实施</w:t>
      </w:r>
      <w:r>
        <w:rPr>
          <w:rFonts w:ascii="黑体" w:eastAsia="黑体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453390</wp:posOffset>
                </wp:positionV>
                <wp:extent cx="6221730" cy="0"/>
                <wp:effectExtent l="0" t="9525" r="1270" b="9525"/>
                <wp:wrapNone/>
                <wp:docPr id="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-18pt;margin-top:35.7pt;height:0pt;width:489.9pt;z-index:251662336;mso-width-relative:page;mso-height-relative:page;" filled="f" stroked="t" coordsize="21600,21600" o:gfxdata="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KFrUXWAAAACQEAAA8A&#10;AAAAAAAAAQAgAAAAIgAAAGRycy9kb3ducmV2LnhtbFBLAQIUABQAAAAIAIdO4kBNJawH4AEAANAD&#10;AAAOAAAAAAAAAAEAIAAAACUBAABkcnMvZTJvRG9jLnhtbFBLBQYAAAAABgAGAFkBAAB3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178BA47">
      <w:pPr>
        <w:jc w:val="center"/>
        <w:rPr>
          <w:sz w:val="24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footnotePr>
            <w:numFmt w:val="decimalFullWidth"/>
            <w:numRestart w:val="eachPage"/>
          </w:footnotePr>
          <w:pgSz w:w="11906" w:h="16838"/>
          <w:pgMar w:top="1588" w:right="1418" w:bottom="1418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b/>
          <w:spacing w:val="60"/>
          <w:sz w:val="44"/>
          <w:szCs w:val="44"/>
        </w:rPr>
        <w:t>国家市场监督管理总局</w:t>
      </w:r>
      <w:r>
        <w:rPr>
          <w:rFonts w:hint="eastAsia" w:ascii="黑体" w:eastAsia="黑体"/>
          <w:bCs/>
          <w:sz w:val="28"/>
        </w:rPr>
        <w:t>发 布</w:t>
      </w:r>
    </w:p>
    <w:p w14:paraId="24AAABD3">
      <w:pPr>
        <w:tabs>
          <w:tab w:val="left" w:pos="6079"/>
        </w:tabs>
        <w:spacing w:line="360" w:lineRule="auto"/>
        <w:ind w:firstLine="251" w:firstLineChars="100"/>
        <w:rPr>
          <w:rFonts w:ascii="黑体" w:hAnsi="黑体" w:eastAsia="黑体"/>
          <w:b/>
          <w:spacing w:val="20"/>
        </w:rPr>
      </w:pPr>
    </w:p>
    <w:p w14:paraId="2084B70C">
      <w:pPr>
        <w:tabs>
          <w:tab w:val="left" w:pos="6079"/>
        </w:tabs>
        <w:spacing w:line="700" w:lineRule="exact"/>
        <w:jc w:val="left"/>
        <w:rPr>
          <w:rFonts w:eastAsia="方正大黑简体"/>
          <w:b/>
          <w:color w:val="FF0000"/>
          <w:spacing w:val="20"/>
          <w:sz w:val="40"/>
        </w:rPr>
      </w:pPr>
      <w:r>
        <w:rPr>
          <w:rFonts w:hint="eastAsia" w:ascii="黑体" w:hAnsi="黑体" w:eastAsia="黑体"/>
          <w:b/>
          <w:spacing w:val="20"/>
          <w:sz w:val="44"/>
          <w:szCs w:val="44"/>
        </w:rPr>
        <w:t>X射线光电子能谱仪校准规范</w:t>
      </w:r>
      <w:r>
        <w:drawing>
          <wp:anchor distT="0" distB="0" distL="114300" distR="114300" simplePos="0" relativeHeight="251659264" behindDoc="0" locked="1" layoutInCell="1" allowOverlap="1">
            <wp:simplePos x="0" y="0"/>
            <wp:positionH relativeFrom="page">
              <wp:posOffset>5031740</wp:posOffset>
            </wp:positionH>
            <wp:positionV relativeFrom="page">
              <wp:posOffset>1348105</wp:posOffset>
            </wp:positionV>
            <wp:extent cx="1628775" cy="791845"/>
            <wp:effectExtent l="0" t="0" r="9525" b="8255"/>
            <wp:wrapSquare wrapText="bothSides"/>
            <wp:docPr id="1" name="_x0000_s1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s119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F422B3">
      <w:pPr>
        <w:spacing w:line="700" w:lineRule="exact"/>
        <w:rPr>
          <w:rFonts w:ascii="黑体" w:hAnsi="黑体" w:eastAsia="黑体"/>
          <w:b/>
          <w:bCs/>
          <w:color w:val="0000FF"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Calibration Specification for X-ray Photoelectron Spectrometer</w:t>
      </w:r>
    </w:p>
    <w:p w14:paraId="7CAC3696">
      <w:pPr>
        <w:spacing w:line="700" w:lineRule="exact"/>
        <w:rPr>
          <w:rFonts w:ascii="黑体" w:hAnsi="黑体" w:eastAsia="黑体"/>
          <w:b/>
          <w:bCs/>
          <w:color w:val="0000FF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331470</wp:posOffset>
                </wp:positionV>
                <wp:extent cx="5805170" cy="0"/>
                <wp:effectExtent l="0" t="9525" r="11430" b="15875"/>
                <wp:wrapNone/>
                <wp:docPr id="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517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.5pt;margin-top:26.1pt;height:0pt;width:457.1pt;z-index:251660288;mso-width-relative:page;mso-height-relative:page;" filled="f" stroked="t" coordsize="21600,21600" o:gfxdata="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Jo3bftUAAAAIAQAADwAA&#10;AAAAAAABACAAAAAiAAAAZHJzL2Rvd25yZXYueG1sUEsBAhQAFAAAAAgAh07iQKiNTT7gAQAA0AMA&#10;AA4AAAAAAAAAAQAgAAAAJAEAAGRycy9lMm9Eb2MueG1sUEsFBgAAAAAGAAYAWQEAAHY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A963E01">
      <w:pPr>
        <w:rPr>
          <w:rFonts w:eastAsia="方正大标宋简体"/>
          <w:sz w:val="28"/>
        </w:rPr>
      </w:pPr>
    </w:p>
    <w:p w14:paraId="7E9F3A24">
      <w:pPr>
        <w:ind w:left="-2" w:leftChars="-161" w:hanging="336" w:hangingChars="120"/>
        <w:rPr>
          <w:rFonts w:eastAsia="方正大标宋简体"/>
          <w:spacing w:val="6"/>
          <w:sz w:val="28"/>
        </w:rPr>
      </w:pPr>
      <w:r>
        <w:rPr>
          <w:rFonts w:hint="eastAsia" w:eastAsia="方正大标宋简体"/>
          <w:sz w:val="28"/>
        </w:rPr>
        <w:t xml:space="preserve">      </w:t>
      </w:r>
    </w:p>
    <w:p w14:paraId="7B06BE97">
      <w:pPr>
        <w:rPr>
          <w:rFonts w:eastAsia="方正大标宋简体"/>
          <w:sz w:val="24"/>
        </w:rPr>
      </w:pPr>
    </w:p>
    <w:p w14:paraId="3F07AED0">
      <w:pPr>
        <w:rPr>
          <w:rFonts w:eastAsia="方正大标宋简体"/>
          <w:sz w:val="24"/>
        </w:rPr>
      </w:pPr>
    </w:p>
    <w:p w14:paraId="2D7FCC30">
      <w:pPr>
        <w:rPr>
          <w:rFonts w:eastAsia="方正大标宋简体"/>
          <w:sz w:val="24"/>
        </w:rPr>
      </w:pPr>
    </w:p>
    <w:p w14:paraId="2312D140">
      <w:pPr>
        <w:rPr>
          <w:rFonts w:eastAsia="方正大标宋简体"/>
          <w:sz w:val="24"/>
        </w:rPr>
      </w:pPr>
    </w:p>
    <w:p w14:paraId="30CE2B8E">
      <w:pPr>
        <w:rPr>
          <w:rFonts w:eastAsia="方正大标宋简体"/>
          <w:sz w:val="24"/>
        </w:rPr>
      </w:pPr>
    </w:p>
    <w:p w14:paraId="48AA0695">
      <w:pPr>
        <w:rPr>
          <w:rFonts w:eastAsia="方正大标宋简体"/>
          <w:sz w:val="24"/>
        </w:rPr>
      </w:pPr>
    </w:p>
    <w:p w14:paraId="3B73F9A3">
      <w:pPr>
        <w:rPr>
          <w:rFonts w:eastAsia="方正大标宋简体"/>
          <w:sz w:val="24"/>
        </w:rPr>
      </w:pPr>
    </w:p>
    <w:p w14:paraId="6B5F2D74">
      <w:pPr>
        <w:rPr>
          <w:rFonts w:eastAsia="方正大标宋简体"/>
          <w:sz w:val="24"/>
        </w:rPr>
      </w:pPr>
    </w:p>
    <w:p w14:paraId="3496CD99">
      <w:pPr>
        <w:rPr>
          <w:rFonts w:eastAsia="方正大标宋简体"/>
          <w:sz w:val="24"/>
        </w:rPr>
      </w:pPr>
    </w:p>
    <w:p w14:paraId="30BF7555">
      <w:pPr>
        <w:rPr>
          <w:rFonts w:eastAsia="方正大标宋简体"/>
          <w:sz w:val="24"/>
        </w:rPr>
      </w:pPr>
    </w:p>
    <w:p w14:paraId="59736C2E">
      <w:pPr>
        <w:ind w:firstLine="1260" w:firstLineChars="450"/>
        <w:rPr>
          <w:rFonts w:ascii="黑体" w:hAnsi="黑体" w:eastAsia="黑体"/>
          <w:color w:val="000000"/>
          <w:sz w:val="28"/>
        </w:rPr>
      </w:pPr>
      <w:r>
        <w:rPr>
          <w:rFonts w:hint="eastAsia" w:ascii="黑体" w:eastAsia="黑体"/>
          <w:sz w:val="28"/>
        </w:rPr>
        <w:t>归</w:t>
      </w:r>
      <w:r>
        <w:rPr>
          <w:rFonts w:hint="eastAsia" w:ascii="黑体" w:eastAsia="黑体"/>
          <w:sz w:val="18"/>
          <w:szCs w:val="18"/>
        </w:rPr>
        <w:t xml:space="preserve">  </w:t>
      </w:r>
      <w:r>
        <w:rPr>
          <w:rFonts w:hint="eastAsia" w:ascii="黑体" w:eastAsia="黑体"/>
          <w:sz w:val="28"/>
        </w:rPr>
        <w:t>口</w:t>
      </w:r>
      <w:r>
        <w:rPr>
          <w:rFonts w:hint="eastAsia" w:ascii="黑体" w:eastAsia="黑体"/>
          <w:sz w:val="18"/>
          <w:szCs w:val="18"/>
        </w:rPr>
        <w:t xml:space="preserve">  </w:t>
      </w:r>
      <w:r>
        <w:rPr>
          <w:rFonts w:hint="eastAsia" w:ascii="黑体" w:eastAsia="黑体"/>
          <w:sz w:val="28"/>
        </w:rPr>
        <w:t>单</w:t>
      </w:r>
      <w:r>
        <w:rPr>
          <w:rFonts w:hint="eastAsia" w:ascii="黑体" w:eastAsia="黑体"/>
          <w:sz w:val="18"/>
          <w:szCs w:val="18"/>
        </w:rPr>
        <w:t xml:space="preserve">  </w:t>
      </w:r>
      <w:r>
        <w:rPr>
          <w:rFonts w:hint="eastAsia" w:ascii="黑体" w:eastAsia="黑体"/>
          <w:sz w:val="28"/>
        </w:rPr>
        <w:t>位</w:t>
      </w:r>
      <w:r>
        <w:rPr>
          <w:rFonts w:hint="eastAsia" w:ascii="黑体" w:eastAsia="黑体"/>
          <w:bCs/>
          <w:sz w:val="28"/>
        </w:rPr>
        <w:t>：</w:t>
      </w:r>
      <w:r>
        <w:rPr>
          <w:rFonts w:hint="eastAsia" w:ascii="宋体" w:hAnsi="宋体" w:cs="宋体"/>
          <w:color w:val="000000"/>
          <w:sz w:val="28"/>
        </w:rPr>
        <w:t>全国新材料与纳米计量技术委员会</w:t>
      </w:r>
    </w:p>
    <w:p w14:paraId="3E3D43E0">
      <w:pPr>
        <w:ind w:firstLine="1260" w:firstLineChars="450"/>
        <w:rPr>
          <w:rFonts w:hint="default" w:ascii="宋体" w:hAnsi="宋体" w:eastAsia="宋体" w:cs="宋体"/>
          <w:color w:val="000000"/>
          <w:sz w:val="28"/>
          <w:lang w:val="en-US" w:eastAsia="zh-CN"/>
        </w:rPr>
      </w:pPr>
      <w:r>
        <w:rPr>
          <w:rFonts w:hint="eastAsia" w:ascii="黑体" w:hAnsi="黑体" w:eastAsia="黑体"/>
          <w:color w:val="000000"/>
          <w:sz w:val="28"/>
        </w:rPr>
        <w:t>主要起草单位：</w:t>
      </w:r>
    </w:p>
    <w:p w14:paraId="2E7D54C0">
      <w:pPr>
        <w:ind w:firstLine="1260" w:firstLineChars="450"/>
        <w:rPr>
          <w:rFonts w:ascii="黑体" w:hAnsi="黑体" w:eastAsia="黑体"/>
          <w:color w:val="000000"/>
          <w:sz w:val="28"/>
        </w:rPr>
      </w:pPr>
      <w:r>
        <w:rPr>
          <w:rFonts w:hint="eastAsia" w:ascii="宋体" w:hAnsi="宋体" w:cs="宋体"/>
          <w:color w:val="000000"/>
          <w:sz w:val="28"/>
        </w:rPr>
        <w:t xml:space="preserve">              </w:t>
      </w:r>
    </w:p>
    <w:p w14:paraId="44474B21">
      <w:pPr>
        <w:ind w:firstLine="1260" w:firstLineChars="450"/>
        <w:rPr>
          <w:rFonts w:ascii="宋体" w:hAnsi="宋体" w:cs="宋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参加起草单位：</w:t>
      </w:r>
    </w:p>
    <w:p w14:paraId="2C122977">
      <w:pPr>
        <w:rPr>
          <w:rFonts w:ascii="宋体" w:hAnsi="宋体" w:cs="宋体"/>
          <w:color w:val="000000"/>
          <w:sz w:val="28"/>
        </w:rPr>
      </w:pPr>
    </w:p>
    <w:p w14:paraId="15DED7FE">
      <w:pPr>
        <w:rPr>
          <w:rFonts w:eastAsia="方正大标宋简体"/>
          <w:sz w:val="24"/>
        </w:rPr>
      </w:pPr>
      <w:r>
        <w:rPr>
          <w:rFonts w:hint="eastAsia" w:ascii="黑体" w:hAnsi="黑体" w:eastAsia="黑体"/>
          <w:color w:val="000000"/>
          <w:sz w:val="28"/>
        </w:rPr>
        <w:t xml:space="preserve">              </w:t>
      </w:r>
      <w:r>
        <w:rPr>
          <w:rFonts w:hint="eastAsia" w:ascii="宋体" w:hAnsi="宋体"/>
          <w:sz w:val="28"/>
        </w:rPr>
        <w:t xml:space="preserve">                       </w:t>
      </w:r>
    </w:p>
    <w:p w14:paraId="49F56DF4">
      <w:pPr>
        <w:rPr>
          <w:rFonts w:eastAsia="方正大标宋简体"/>
          <w:sz w:val="24"/>
        </w:rPr>
      </w:pPr>
    </w:p>
    <w:p w14:paraId="76A34D15">
      <w:pPr>
        <w:rPr>
          <w:rFonts w:eastAsia="方正大标宋简体"/>
          <w:sz w:val="24"/>
        </w:rPr>
      </w:pPr>
    </w:p>
    <w:p w14:paraId="249B9C1F">
      <w:pPr>
        <w:rPr>
          <w:rFonts w:eastAsia="方正大标宋简体"/>
          <w:sz w:val="24"/>
        </w:rPr>
      </w:pPr>
    </w:p>
    <w:p w14:paraId="4D846A11">
      <w:pPr>
        <w:spacing w:line="500" w:lineRule="exact"/>
        <w:jc w:val="center"/>
        <w:rPr>
          <w:rFonts w:ascii="宋体" w:hAnsi="宋体"/>
          <w:sz w:val="28"/>
        </w:rPr>
      </w:pPr>
    </w:p>
    <w:p w14:paraId="1A10F7EC">
      <w:pPr>
        <w:spacing w:line="500" w:lineRule="exact"/>
        <w:jc w:val="center"/>
        <w:rPr>
          <w:rFonts w:ascii="宋体" w:hAnsi="宋体"/>
          <w:sz w:val="28"/>
        </w:rPr>
      </w:pPr>
    </w:p>
    <w:p w14:paraId="0C8B20CA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本规范委托全国新材料与纳米计量技术委员会负责解释</w:t>
      </w:r>
    </w:p>
    <w:p w14:paraId="4CDD22BB">
      <w:pPr>
        <w:ind w:firstLine="570"/>
        <w:jc w:val="left"/>
        <w:outlineLvl w:val="0"/>
        <w:rPr>
          <w:rFonts w:eastAsia="黑体" w:cs="黑体"/>
          <w:sz w:val="28"/>
          <w:szCs w:val="28"/>
        </w:rPr>
      </w:pPr>
      <w:bookmarkStart w:id="8" w:name="_Toc101281454"/>
      <w:bookmarkStart w:id="9" w:name="_Toc101442444"/>
      <w:bookmarkStart w:id="10" w:name="_Toc89184070"/>
    </w:p>
    <w:p w14:paraId="35E7CCCF">
      <w:pPr>
        <w:ind w:firstLine="570"/>
        <w:jc w:val="left"/>
        <w:outlineLvl w:val="0"/>
        <w:rPr>
          <w:rFonts w:eastAsia="黑体" w:cs="黑体"/>
          <w:sz w:val="28"/>
          <w:szCs w:val="28"/>
        </w:rPr>
      </w:pPr>
    </w:p>
    <w:p w14:paraId="2C92A71E">
      <w:pPr>
        <w:ind w:firstLine="570"/>
        <w:jc w:val="left"/>
        <w:outlineLvl w:val="0"/>
        <w:rPr>
          <w:rFonts w:eastAsia="黑体" w:cs="黑体"/>
          <w:sz w:val="28"/>
          <w:szCs w:val="28"/>
        </w:rPr>
      </w:pPr>
    </w:p>
    <w:p w14:paraId="1AEF64E5">
      <w:pPr>
        <w:ind w:firstLine="570"/>
        <w:jc w:val="left"/>
        <w:rPr>
          <w:b/>
          <w:bCs/>
          <w:sz w:val="28"/>
          <w:szCs w:val="28"/>
        </w:rPr>
      </w:pPr>
      <w:bookmarkStart w:id="11" w:name="_Toc21565"/>
      <w:r>
        <w:rPr>
          <w:rFonts w:hint="eastAsia" w:eastAsia="黑体" w:cs="黑体"/>
          <w:sz w:val="28"/>
          <w:szCs w:val="28"/>
        </w:rPr>
        <w:t>本规范主要起草人</w:t>
      </w:r>
      <w:r>
        <w:rPr>
          <w:rFonts w:hint="eastAsia" w:cs="宋体"/>
          <w:b/>
          <w:bCs/>
          <w:sz w:val="28"/>
          <w:szCs w:val="28"/>
        </w:rPr>
        <w:t>：</w:t>
      </w:r>
      <w:bookmarkEnd w:id="6"/>
      <w:bookmarkEnd w:id="7"/>
      <w:bookmarkEnd w:id="8"/>
      <w:bookmarkEnd w:id="9"/>
      <w:bookmarkEnd w:id="10"/>
      <w:bookmarkEnd w:id="11"/>
    </w:p>
    <w:p w14:paraId="51DBE6DE">
      <w:pPr>
        <w:ind w:firstLine="1960" w:firstLineChars="700"/>
        <w:jc w:val="left"/>
        <w:rPr>
          <w:rFonts w:eastAsia="黑体"/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12" w:name="_Toc26250"/>
      <w:r>
        <w:rPr>
          <w:rFonts w:hint="eastAsia"/>
          <w:sz w:val="28"/>
          <w:szCs w:val="28"/>
        </w:rPr>
        <w:t xml:space="preserve">    </w:t>
      </w:r>
      <w:bookmarkEnd w:id="12"/>
      <w:bookmarkStart w:id="13" w:name="_Toc12699"/>
    </w:p>
    <w:bookmarkEnd w:id="13"/>
    <w:p w14:paraId="55132C90">
      <w:pPr>
        <w:ind w:firstLine="570"/>
        <w:jc w:val="left"/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eastAsia="黑体"/>
          <w:sz w:val="28"/>
          <w:szCs w:val="28"/>
        </w:rPr>
        <w:t xml:space="preserve">      </w:t>
      </w:r>
      <w:bookmarkStart w:id="14" w:name="_Toc13553"/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 xml:space="preserve">   </w:t>
      </w:r>
      <w:bookmarkEnd w:id="14"/>
    </w:p>
    <w:p w14:paraId="4B6EBDAD">
      <w:pPr>
        <w:ind w:firstLine="570"/>
        <w:jc w:val="left"/>
        <w:rPr>
          <w:rFonts w:hint="eastAsia" w:eastAsia="黑体" w:cs="黑体"/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15" w:name="_Toc101442448"/>
      <w:bookmarkStart w:id="16" w:name="_Toc89184071"/>
      <w:bookmarkStart w:id="17" w:name="_Toc32261"/>
      <w:bookmarkStart w:id="18" w:name="_Toc101281458"/>
      <w:bookmarkStart w:id="19" w:name="_Toc511320451"/>
      <w:bookmarkStart w:id="20" w:name="_Toc511311518"/>
      <w:r>
        <w:rPr>
          <w:rFonts w:hint="eastAsia"/>
          <w:sz w:val="28"/>
          <w:szCs w:val="28"/>
        </w:rPr>
        <w:t xml:space="preserve">    </w:t>
      </w:r>
      <w:r>
        <w:rPr>
          <w:rFonts w:hint="eastAsia" w:eastAsia="黑体" w:cs="黑体"/>
          <w:sz w:val="28"/>
          <w:szCs w:val="28"/>
        </w:rPr>
        <w:t>参加起草人：</w:t>
      </w:r>
      <w:bookmarkEnd w:id="15"/>
      <w:bookmarkEnd w:id="16"/>
      <w:bookmarkEnd w:id="17"/>
      <w:bookmarkEnd w:id="18"/>
      <w:bookmarkEnd w:id="19"/>
      <w:bookmarkEnd w:id="20"/>
    </w:p>
    <w:p w14:paraId="3F8DC04A">
      <w:pPr>
        <w:ind w:firstLine="570"/>
        <w:jc w:val="left"/>
        <w:rPr>
          <w:rFonts w:eastAsia="黑体" w:cs="黑体"/>
          <w:sz w:val="28"/>
          <w:szCs w:val="28"/>
        </w:rPr>
      </w:pPr>
    </w:p>
    <w:p w14:paraId="4F82B911">
      <w:pPr>
        <w:ind w:firstLine="570"/>
        <w:jc w:val="left"/>
        <w:rPr>
          <w:rFonts w:eastAsia="黑体"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715715AE">
      <w:pPr>
        <w:ind w:firstLine="570"/>
        <w:jc w:val="left"/>
        <w:rPr>
          <w:rFonts w:eastAsia="黑体"/>
          <w:color w:val="FFC000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</w:t>
      </w:r>
    </w:p>
    <w:p w14:paraId="4AC7FDCB">
      <w:pPr>
        <w:ind w:firstLine="570"/>
        <w:jc w:val="center"/>
        <w:rPr>
          <w:sz w:val="28"/>
          <w:szCs w:val="28"/>
        </w:rPr>
      </w:pPr>
    </w:p>
    <w:p w14:paraId="01DD6519">
      <w:pPr>
        <w:ind w:firstLine="570"/>
        <w:jc w:val="center"/>
        <w:rPr>
          <w:sz w:val="28"/>
          <w:szCs w:val="28"/>
        </w:rPr>
      </w:pPr>
    </w:p>
    <w:p w14:paraId="5114A72F">
      <w:pPr>
        <w:ind w:firstLine="570"/>
        <w:jc w:val="center"/>
        <w:rPr>
          <w:sz w:val="28"/>
          <w:szCs w:val="28"/>
        </w:rPr>
      </w:pPr>
    </w:p>
    <w:p w14:paraId="148EA0FC">
      <w:pPr>
        <w:ind w:firstLine="570"/>
        <w:jc w:val="center"/>
        <w:rPr>
          <w:sz w:val="28"/>
          <w:szCs w:val="28"/>
        </w:rPr>
      </w:pPr>
    </w:p>
    <w:p w14:paraId="2F8BAB16">
      <w:pPr>
        <w:ind w:firstLine="570"/>
        <w:jc w:val="center"/>
        <w:rPr>
          <w:sz w:val="28"/>
          <w:szCs w:val="28"/>
        </w:rPr>
      </w:pPr>
    </w:p>
    <w:p w14:paraId="33A39760">
      <w:pPr>
        <w:ind w:firstLine="570"/>
        <w:jc w:val="center"/>
        <w:rPr>
          <w:sz w:val="28"/>
          <w:szCs w:val="28"/>
        </w:rPr>
      </w:pPr>
    </w:p>
    <w:p w14:paraId="2C9ED137">
      <w:pPr>
        <w:ind w:firstLine="570"/>
        <w:jc w:val="center"/>
        <w:rPr>
          <w:sz w:val="28"/>
          <w:szCs w:val="28"/>
        </w:rPr>
      </w:pPr>
    </w:p>
    <w:p w14:paraId="5EAE0BCA">
      <w:pPr>
        <w:ind w:firstLine="570"/>
        <w:jc w:val="center"/>
        <w:rPr>
          <w:sz w:val="28"/>
          <w:szCs w:val="28"/>
        </w:rPr>
      </w:pPr>
    </w:p>
    <w:p w14:paraId="6386BBA9">
      <w:pPr>
        <w:ind w:firstLine="570"/>
        <w:jc w:val="center"/>
        <w:rPr>
          <w:sz w:val="28"/>
          <w:szCs w:val="28"/>
        </w:rPr>
      </w:pPr>
    </w:p>
    <w:p w14:paraId="51A4921C">
      <w:pPr>
        <w:ind w:firstLine="570"/>
        <w:jc w:val="center"/>
        <w:rPr>
          <w:sz w:val="28"/>
          <w:szCs w:val="28"/>
        </w:rPr>
        <w:sectPr>
          <w:headerReference r:id="rId7" w:type="default"/>
          <w:footerReference r:id="rId8" w:type="default"/>
          <w:pgSz w:w="11906" w:h="16838"/>
          <w:pgMar w:top="1264" w:right="1418" w:bottom="1418" w:left="1418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0C7C13FF">
      <w:pPr>
        <w:ind w:firstLine="570"/>
        <w:jc w:val="center"/>
        <w:rPr>
          <w:sz w:val="28"/>
          <w:szCs w:val="28"/>
        </w:rPr>
      </w:pPr>
    </w:p>
    <w:p w14:paraId="652FFB0A">
      <w:pPr>
        <w:pStyle w:val="2"/>
        <w:keepNext/>
        <w:spacing w:before="312" w:beforeLines="100" w:after="312" w:afterLines="100"/>
        <w:ind w:firstLine="0" w:firstLineChars="0"/>
        <w:jc w:val="center"/>
        <w:rPr>
          <w:rFonts w:ascii="Times New Roman" w:hAnsi="Times New Roman" w:eastAsia="宋体" w:cs="Times New Roman"/>
          <w:kern w:val="0"/>
          <w:sz w:val="24"/>
          <w:szCs w:val="20"/>
          <w:lang w:val="en-US" w:eastAsia="zh-CN" w:bidi="ar-SA"/>
        </w:rPr>
      </w:pPr>
      <w:bookmarkStart w:id="21" w:name="_Toc101281463"/>
      <w:bookmarkStart w:id="22" w:name="_Toc29592"/>
      <w:bookmarkStart w:id="23" w:name="_Toc101442453"/>
      <w:r>
        <w:rPr>
          <w:rFonts w:hint="eastAsia" w:ascii="Arial" w:hAnsi="Arial" w:eastAsia="黑体" w:cs="Arial"/>
          <w:bCs/>
          <w:kern w:val="2"/>
          <w:sz w:val="44"/>
          <w:szCs w:val="44"/>
        </w:rPr>
        <w:t>目  录</w:t>
      </w:r>
      <w:bookmarkEnd w:id="21"/>
      <w:bookmarkEnd w:id="22"/>
      <w:bookmarkEnd w:id="23"/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TOC \o "1-2" \h \z \u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</w:p>
    <w:p w14:paraId="68A986B0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_Toc29592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</w:rPr>
        <w:t>目  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_Toc29592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74DE417D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_Toc16624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引  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_Toc16624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II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3574806C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_Toc6092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  范围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_Toc6092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4C356FAC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_Toc1474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  引用文件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_Toc1474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341F756A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_Toc5811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  术语和定义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_Toc5811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44AF4E15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_Toc31769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  概述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_Toc31769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30FEB98B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_Toc18732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  计量特性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_Toc18732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57C82AAB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_Toc22608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  校准条件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_Toc22608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7BDBED67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_Toc15672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6.1  环境条件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_Toc15672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5E9F2D55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_Toc14133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6.2  测量标准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_Toc14133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7F21AD04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_Toc28690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  校准项目和校准方法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_Toc28690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690A897C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_Toc11820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7.1  校准前准备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_Toc11820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4019911C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_Toc25151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标准物质装载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_Toc25151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3EFC825E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_Toc16785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仪器抽真空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_Toc16785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68ADCC5F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_Toc7403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样品清洁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_Toc7403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5C9F32F4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_Toc6939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参数设置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_Toc6939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5733BF27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_Toc15174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.2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结合能测量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重复性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_Toc15174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3673D668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_Toc26690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结合能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示值误差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_Toc26690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07A6F6D6">
      <w:pPr>
        <w:pStyle w:val="13"/>
        <w:tabs>
          <w:tab w:val="right" w:leader="dot" w:pos="9070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_Toc24518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峰值强度测量重复性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_Toc24518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1A23E03F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_Toc18687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  校准结果表达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_Toc18687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bookmarkStart w:id="73" w:name="_GoBack"/>
      <w:bookmarkEnd w:id="73"/>
    </w:p>
    <w:p w14:paraId="3D658900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_Toc31862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9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复校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时间间隔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_Toc31862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0C487F8F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_Toc14684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附录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A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X射线光电子能谱仪校准结果的不确定度评定示例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_Toc14684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1A963361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_Toc29866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附录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校准原始记录格式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_Toc29866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23EF7731">
      <w:pPr>
        <w:pStyle w:val="12"/>
        <w:tabs>
          <w:tab w:val="right" w:leader="dot" w:pos="9070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HYPERLINK \l _Toc1892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附录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校准证书（内页）格式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 PAGEREF _Toc1892 \h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fldChar w:fldCharType="end"/>
      </w:r>
    </w:p>
    <w:p w14:paraId="4437583A">
      <w:pPr>
        <w:keepNext/>
        <w:spacing w:before="312" w:beforeLines="100" w:after="312" w:afterLines="100"/>
        <w:ind w:firstLine="0" w:firstLineChars="0"/>
        <w:jc w:val="both"/>
        <w:rPr>
          <w:sz w:val="28"/>
          <w:szCs w:val="28"/>
        </w:rPr>
      </w:pPr>
      <w:r>
        <w:rPr>
          <w:sz w:val="24"/>
        </w:rPr>
        <w:fldChar w:fldCharType="end"/>
      </w:r>
    </w:p>
    <w:p w14:paraId="25A0C08C">
      <w:pPr>
        <w:rPr>
          <w:sz w:val="28"/>
          <w:szCs w:val="28"/>
        </w:rPr>
        <w:sectPr>
          <w:headerReference r:id="rId9" w:type="default"/>
          <w:footerReference r:id="rId10" w:type="default"/>
          <w:pgSz w:w="11906" w:h="16838"/>
          <w:pgMar w:top="1264" w:right="1418" w:bottom="1418" w:left="1418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2439599C">
      <w:pPr>
        <w:autoSpaceDE w:val="0"/>
        <w:autoSpaceDN w:val="0"/>
        <w:spacing w:before="312" w:beforeLines="100" w:after="312" w:afterLines="100"/>
        <w:jc w:val="center"/>
        <w:outlineLvl w:val="0"/>
        <w:rPr>
          <w:sz w:val="24"/>
          <w:szCs w:val="24"/>
        </w:rPr>
      </w:pPr>
      <w:bookmarkStart w:id="24" w:name="_Toc54707737"/>
      <w:bookmarkStart w:id="25" w:name="_Toc16624"/>
      <w:r>
        <w:rPr>
          <w:rFonts w:hint="eastAsia" w:ascii="黑体" w:hAnsi="黑体" w:eastAsia="黑体"/>
          <w:color w:val="000000"/>
          <w:sz w:val="44"/>
          <w:szCs w:val="44"/>
        </w:rPr>
        <w:t>引  言</w:t>
      </w:r>
      <w:bookmarkEnd w:id="24"/>
      <w:bookmarkEnd w:id="25"/>
    </w:p>
    <w:p w14:paraId="19412A77">
      <w:pPr>
        <w:snapToGrid w:val="0"/>
        <w:spacing w:line="360" w:lineRule="auto"/>
        <w:ind w:firstLine="470" w:firstLineChars="196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color w:val="000000"/>
          <w:sz w:val="24"/>
        </w:rPr>
        <w:t>JJF 1071《国家计量校准规范编写规则》</w:t>
      </w:r>
      <w:r>
        <w:rPr>
          <w:rFonts w:hint="default" w:ascii="Times New Roman" w:hAnsi="Times New Roman" w:cs="Times New Roman"/>
          <w:sz w:val="24"/>
        </w:rPr>
        <w:t>、JJF 1001《通用计量术语及定义》、</w:t>
      </w:r>
      <w:r>
        <w:rPr>
          <w:rFonts w:hint="default" w:ascii="Times New Roman" w:hAnsi="Times New Roman" w:cs="Times New Roman"/>
          <w:color w:val="000000"/>
          <w:sz w:val="24"/>
        </w:rPr>
        <w:t>JJF 1059.1《测量不确定度评定与表示》和JJF 1094《测量仪器特性评定》共同构成支撑本规范制定工作的</w:t>
      </w:r>
      <w:r>
        <w:rPr>
          <w:rFonts w:hint="default" w:ascii="Times New Roman" w:hAnsi="Times New Roman" w:cs="Times New Roman"/>
          <w:sz w:val="24"/>
        </w:rPr>
        <w:t>基础性系列规范。</w:t>
      </w:r>
    </w:p>
    <w:p w14:paraId="2CE4FE4C">
      <w:pPr>
        <w:spacing w:line="400" w:lineRule="atLeast"/>
        <w:ind w:firstLine="480" w:firstLineChars="200"/>
        <w:rPr>
          <w:rFonts w:hint="default" w:ascii="Times New Roman" w:hAnsi="Times New Roman" w:cs="Times New Roman"/>
          <w:sz w:val="24"/>
          <w:szCs w:val="24"/>
        </w:rPr>
        <w:sectPr>
          <w:pgSz w:w="11906" w:h="16838"/>
          <w:pgMar w:top="1440" w:right="1043" w:bottom="1440" w:left="1797" w:header="851" w:footer="992" w:gutter="0"/>
          <w:pgNumType w:fmt="upperRoman"/>
          <w:cols w:space="720" w:num="1"/>
          <w:docGrid w:type="linesAndChars" w:linePitch="312" w:charSpace="0"/>
        </w:sectPr>
      </w:pPr>
      <w:r>
        <w:rPr>
          <w:rFonts w:hint="default" w:ascii="Times New Roman" w:hAnsi="Times New Roman" w:cs="Times New Roman"/>
          <w:color w:val="000000"/>
          <w:sz w:val="24"/>
        </w:rPr>
        <w:t>本规范为首次发布。</w:t>
      </w:r>
    </w:p>
    <w:p w14:paraId="67E390D7">
      <w:pPr>
        <w:spacing w:before="312" w:beforeLines="100" w:after="312" w:afterLines="10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X射线光电子能谱仪校准规范</w:t>
      </w:r>
    </w:p>
    <w:p w14:paraId="7EA34DCC">
      <w:pPr>
        <w:pStyle w:val="2"/>
        <w:spacing w:before="156" w:beforeLines="50" w:after="156" w:afterLines="50"/>
        <w:ind w:firstLine="0" w:firstLineChars="0"/>
        <w:rPr>
          <w:rFonts w:hint="default" w:ascii="Times New Roman" w:hAnsi="Times New Roman" w:eastAsia="黑体" w:cs="Times New Roman"/>
          <w:sz w:val="24"/>
          <w:szCs w:val="24"/>
        </w:rPr>
      </w:pPr>
      <w:bookmarkStart w:id="26" w:name="_Toc6092"/>
      <w:r>
        <w:rPr>
          <w:rFonts w:hint="default" w:ascii="Times New Roman" w:hAnsi="Times New Roman" w:eastAsia="黑体" w:cs="Times New Roman"/>
          <w:sz w:val="24"/>
          <w:szCs w:val="24"/>
        </w:rPr>
        <w:t>1  范围</w:t>
      </w:r>
      <w:bookmarkEnd w:id="26"/>
    </w:p>
    <w:p w14:paraId="08B4B180">
      <w:pPr>
        <w:snapToGrid w:val="0"/>
        <w:spacing w:line="360" w:lineRule="auto"/>
        <w:ind w:left="2" w:leftChars="1" w:firstLine="470" w:firstLineChars="196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 w:val="24"/>
        </w:rPr>
        <w:t>本规范适用于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X射线光电子能谱仪的校准</w:t>
      </w:r>
      <w:r>
        <w:rPr>
          <w:rFonts w:hint="default" w:ascii="Times New Roman" w:hAnsi="Times New Roman" w:cs="Times New Roman"/>
          <w:color w:val="000000"/>
          <w:sz w:val="24"/>
        </w:rPr>
        <w:t>。</w:t>
      </w:r>
    </w:p>
    <w:p w14:paraId="12166754">
      <w:pPr>
        <w:pStyle w:val="2"/>
        <w:spacing w:before="156" w:beforeLines="50" w:after="156" w:afterLines="50"/>
        <w:ind w:firstLine="0" w:firstLineChars="0"/>
        <w:rPr>
          <w:rFonts w:hint="default" w:ascii="Times New Roman" w:hAnsi="Times New Roman" w:eastAsia="黑体" w:cs="Times New Roman"/>
          <w:sz w:val="24"/>
          <w:szCs w:val="24"/>
        </w:rPr>
      </w:pPr>
      <w:bookmarkStart w:id="27" w:name="_Toc1474"/>
      <w:r>
        <w:rPr>
          <w:rFonts w:hint="default" w:ascii="Times New Roman" w:hAnsi="Times New Roman" w:eastAsia="黑体" w:cs="Times New Roman"/>
          <w:sz w:val="24"/>
          <w:szCs w:val="24"/>
        </w:rPr>
        <w:t>2  引用文件</w:t>
      </w:r>
      <w:bookmarkEnd w:id="27"/>
    </w:p>
    <w:p w14:paraId="0E578B05">
      <w:pPr>
        <w:spacing w:line="360" w:lineRule="auto"/>
        <w:ind w:firstLine="4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本规范引用下列文件：</w:t>
      </w:r>
    </w:p>
    <w:p w14:paraId="03705E40"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GB/T 22571-2017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highlight w:val="none"/>
        </w:rPr>
        <w:t>表面化学分析 X射线光电子能谱仪 能量标尺的校准</w:t>
      </w:r>
    </w:p>
    <w:p w14:paraId="1B701AB3">
      <w:pPr>
        <w:spacing w:line="360" w:lineRule="auto"/>
        <w:ind w:firstLine="4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14:paraId="0522DF1C">
      <w:pPr>
        <w:pStyle w:val="2"/>
        <w:spacing w:before="156" w:beforeLines="50" w:after="156" w:afterLines="50"/>
        <w:ind w:firstLine="0" w:firstLineChars="0"/>
        <w:rPr>
          <w:rFonts w:hint="default" w:ascii="Times New Roman" w:hAnsi="Times New Roman" w:eastAsia="黑体" w:cs="Times New Roman"/>
          <w:sz w:val="24"/>
          <w:szCs w:val="24"/>
        </w:rPr>
      </w:pPr>
      <w:bookmarkStart w:id="28" w:name="_Toc5811"/>
      <w:r>
        <w:rPr>
          <w:rFonts w:hint="default" w:ascii="Times New Roman" w:hAnsi="Times New Roman" w:eastAsia="黑体" w:cs="Times New Roman"/>
          <w:sz w:val="24"/>
          <w:szCs w:val="24"/>
        </w:rPr>
        <w:t>3  术语和定义</w:t>
      </w:r>
      <w:bookmarkEnd w:id="28"/>
    </w:p>
    <w:p w14:paraId="70C75E1B">
      <w:pPr>
        <w:spacing w:line="360" w:lineRule="auto"/>
        <w:ind w:firstLine="4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以下的术语和定义适用于本规范。</w:t>
      </w:r>
    </w:p>
    <w:p w14:paraId="77AC60CC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3.1  </w:t>
      </w:r>
      <w:r>
        <w:rPr>
          <w:rFonts w:hint="default" w:ascii="Times New Roman" w:hAnsi="Times New Roman" w:cs="Times New Roman"/>
          <w:sz w:val="24"/>
          <w:lang w:val="en-US" w:eastAsia="zh-CN"/>
        </w:rPr>
        <w:t>结合能</w:t>
      </w:r>
      <w:r>
        <w:rPr>
          <w:rFonts w:hint="default" w:ascii="Times New Roman" w:hAnsi="Times New Roman" w:cs="Times New Roman"/>
          <w:sz w:val="24"/>
        </w:rPr>
        <w:t xml:space="preserve"> Binding energy</w:t>
      </w:r>
    </w:p>
    <w:p w14:paraId="51F88984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cs="Times New Roman"/>
          <w:sz w:val="24"/>
        </w:rPr>
        <w:t>将一个电子从原子轨道中激发到真空能级所需的最小能量</w:t>
      </w:r>
      <w:r>
        <w:rPr>
          <w:rFonts w:hint="default" w:ascii="Times New Roman" w:hAnsi="Times New Roman" w:cs="Times New Roman"/>
          <w:sz w:val="24"/>
          <w:lang w:eastAsia="zh-CN"/>
        </w:rPr>
        <w:t>。</w:t>
      </w:r>
    </w:p>
    <w:p w14:paraId="1E414F47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3.2  </w:t>
      </w:r>
      <w:r>
        <w:rPr>
          <w:rFonts w:hint="default" w:ascii="Times New Roman" w:hAnsi="Times New Roman" w:cs="Times New Roman"/>
          <w:sz w:val="24"/>
          <w:lang w:val="en-US" w:eastAsia="zh-CN"/>
        </w:rPr>
        <w:t>峰值强度</w:t>
      </w:r>
      <w:r>
        <w:rPr>
          <w:rFonts w:hint="default" w:ascii="Times New Roman" w:hAnsi="Times New Roman" w:cs="Times New Roman"/>
          <w:sz w:val="24"/>
        </w:rPr>
        <w:t xml:space="preserve"> Peak intensity</w:t>
      </w:r>
    </w:p>
    <w:p w14:paraId="17F6E215">
      <w:pPr>
        <w:spacing w:line="360" w:lineRule="auto"/>
        <w:ind w:firstLine="4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X射线光电子能谱</w:t>
      </w:r>
      <w:r>
        <w:rPr>
          <w:rFonts w:hint="default" w:ascii="Times New Roman" w:hAnsi="Times New Roman" w:cs="Times New Roman"/>
          <w:sz w:val="24"/>
          <w:lang w:val="en-US" w:eastAsia="zh-CN"/>
        </w:rPr>
        <w:t>中窄谱对应的</w:t>
      </w:r>
      <w:r>
        <w:rPr>
          <w:rFonts w:hint="default" w:ascii="Times New Roman" w:hAnsi="Times New Roman" w:cs="Times New Roman"/>
          <w:sz w:val="24"/>
        </w:rPr>
        <w:t>最大强度。</w:t>
      </w:r>
    </w:p>
    <w:p w14:paraId="1C1E4A34">
      <w:pPr>
        <w:pStyle w:val="2"/>
        <w:spacing w:before="156" w:beforeLines="50" w:after="156" w:afterLines="50"/>
        <w:ind w:firstLine="0" w:firstLineChars="0"/>
        <w:rPr>
          <w:rFonts w:hint="default" w:ascii="Times New Roman" w:hAnsi="Times New Roman" w:eastAsia="黑体" w:cs="Times New Roman"/>
          <w:sz w:val="24"/>
          <w:szCs w:val="24"/>
        </w:rPr>
      </w:pPr>
      <w:bookmarkStart w:id="29" w:name="_Toc31769"/>
      <w:r>
        <w:rPr>
          <w:rFonts w:hint="default" w:ascii="Times New Roman" w:hAnsi="Times New Roman" w:eastAsia="黑体" w:cs="Times New Roman"/>
          <w:sz w:val="24"/>
          <w:szCs w:val="24"/>
        </w:rPr>
        <w:t>4  概述</w:t>
      </w:r>
      <w:bookmarkEnd w:id="29"/>
    </w:p>
    <w:p w14:paraId="235162BF">
      <w:pPr>
        <w:spacing w:line="360" w:lineRule="auto"/>
        <w:ind w:firstLine="42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w:t>X射线光电子能谱（XPS），是一种用于分析材料表面元素组成和化学状态的超高真空分析技术</w:t>
      </w:r>
      <w:r>
        <w:rPr>
          <w:rFonts w:hint="default" w:ascii="Times New Roman" w:hAnsi="Times New Roman" w:cs="Times New Roman"/>
          <w:sz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</w:rPr>
        <w:t>其基本原理是光电效应。使用一束单色X射线照射样品表面，样品原子中的内层电子吸收X射线光子能量后被激发而发射出来，成为光电子。通过电子能量分析器测量这些光电子的动能，再计算出其结合能。每种元素都具有一系列特征且唯一的结合能值，通过分析结合能即可对样品表面元素进行定性和定量分析</w:t>
      </w:r>
      <w:r>
        <w:rPr>
          <w:rFonts w:hint="default" w:ascii="Times New Roman" w:hAnsi="Times New Roman" w:cs="Times New Roman"/>
          <w:sz w:val="24"/>
          <w:lang w:val="en-US" w:eastAsia="zh-CN"/>
        </w:rPr>
        <w:t>。因此，结合能的校准对于定性和定量分析十分重要。此外，元素含量通过XPS峰面积进行计算，而峰面积与峰值强度直接相关，因此峰值强度的测量重复性对于元素含量的测量是非常重要的。</w:t>
      </w:r>
    </w:p>
    <w:p w14:paraId="12661EF0">
      <w:pPr>
        <w:pStyle w:val="2"/>
        <w:spacing w:before="156" w:beforeLines="50" w:after="156" w:afterLines="50"/>
        <w:ind w:firstLine="0" w:firstLineChars="0"/>
        <w:rPr>
          <w:rFonts w:hint="default" w:ascii="Times New Roman" w:hAnsi="Times New Roman" w:eastAsia="黑体" w:cs="Times New Roman"/>
          <w:sz w:val="24"/>
          <w:szCs w:val="24"/>
        </w:rPr>
      </w:pPr>
      <w:bookmarkStart w:id="30" w:name="_Toc18732"/>
      <w:r>
        <w:rPr>
          <w:rFonts w:hint="default" w:ascii="Times New Roman" w:hAnsi="Times New Roman" w:eastAsia="黑体" w:cs="Times New Roman"/>
          <w:sz w:val="24"/>
          <w:szCs w:val="24"/>
        </w:rPr>
        <w:t>5  计量特性</w:t>
      </w:r>
      <w:bookmarkEnd w:id="30"/>
    </w:p>
    <w:p w14:paraId="29C46C58">
      <w:pPr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计量特性见表1：</w:t>
      </w:r>
    </w:p>
    <w:p w14:paraId="6FAE79FC">
      <w:pPr>
        <w:ind w:firstLine="480" w:firstLineChars="200"/>
        <w:rPr>
          <w:rFonts w:hint="default" w:ascii="Times New Roman" w:hAnsi="Times New Roman" w:cs="Times New Roman"/>
          <w:sz w:val="24"/>
        </w:rPr>
      </w:pPr>
    </w:p>
    <w:p w14:paraId="1ECDBAAA">
      <w:pPr>
        <w:ind w:firstLine="480" w:firstLineChars="200"/>
        <w:rPr>
          <w:rFonts w:hint="default" w:ascii="Times New Roman" w:hAnsi="Times New Roman" w:cs="Times New Roman"/>
          <w:sz w:val="24"/>
        </w:rPr>
      </w:pPr>
    </w:p>
    <w:p w14:paraId="12647362">
      <w:pPr>
        <w:ind w:firstLine="480" w:firstLineChars="200"/>
        <w:rPr>
          <w:rFonts w:hint="default" w:ascii="Times New Roman" w:hAnsi="Times New Roman" w:cs="Times New Roman"/>
          <w:sz w:val="24"/>
        </w:rPr>
      </w:pPr>
    </w:p>
    <w:p w14:paraId="472422CE">
      <w:pPr>
        <w:spacing w:line="360" w:lineRule="auto"/>
        <w:jc w:val="center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表1 计量特性</w:t>
      </w:r>
    </w:p>
    <w:tbl>
      <w:tblPr>
        <w:tblStyle w:val="1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2830"/>
      </w:tblGrid>
      <w:tr w14:paraId="0FF57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2214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校准项目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770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计量特性</w:t>
            </w:r>
          </w:p>
        </w:tc>
      </w:tr>
      <w:tr w14:paraId="07702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F556C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结合能测量重复性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98334"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lang w:bidi="ar"/>
              </w:rPr>
              <w:t>测量重复性≤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 w:bidi="ar"/>
              </w:rPr>
              <w:t>0.10 eV</w:t>
            </w:r>
          </w:p>
        </w:tc>
      </w:tr>
      <w:tr w14:paraId="135B1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1CADD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结合能示值误差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1072E"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lang w:bidi="ar"/>
              </w:rPr>
              <w:t>测量重复性≤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 w:bidi="ar"/>
              </w:rPr>
              <w:t>0.50 eV</w:t>
            </w:r>
          </w:p>
        </w:tc>
      </w:tr>
      <w:tr w14:paraId="7E6CB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70D58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峰值强度</w:t>
            </w:r>
            <w:r>
              <w:rPr>
                <w:rFonts w:hint="default" w:ascii="Times New Roman" w:hAnsi="Times New Roman" w:cs="Times New Roman"/>
                <w:kern w:val="0"/>
              </w:rPr>
              <w:t>测量重复性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30C1A"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lang w:bidi="ar"/>
              </w:rPr>
              <w:t>测量重复性≤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5%</w:t>
            </w:r>
          </w:p>
        </w:tc>
      </w:tr>
    </w:tbl>
    <w:p w14:paraId="5C411C17">
      <w:pPr>
        <w:pStyle w:val="2"/>
        <w:spacing w:before="156" w:beforeLines="50" w:after="156" w:afterLines="50"/>
        <w:ind w:firstLine="0" w:firstLineChars="0"/>
        <w:rPr>
          <w:rFonts w:hint="default" w:ascii="Times New Roman" w:hAnsi="Times New Roman" w:eastAsia="黑体" w:cs="Times New Roman"/>
          <w:sz w:val="24"/>
          <w:szCs w:val="24"/>
        </w:rPr>
      </w:pPr>
      <w:bookmarkStart w:id="31" w:name="_Toc22608"/>
      <w:r>
        <w:rPr>
          <w:rFonts w:hint="default" w:ascii="Times New Roman" w:hAnsi="Times New Roman" w:eastAsia="黑体" w:cs="Times New Roman"/>
          <w:sz w:val="24"/>
          <w:szCs w:val="24"/>
        </w:rPr>
        <w:t>6  校准条件</w:t>
      </w:r>
      <w:bookmarkEnd w:id="31"/>
    </w:p>
    <w:p w14:paraId="0FAABF61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32" w:name="_Toc4792"/>
      <w:bookmarkStart w:id="33" w:name="_Toc31089"/>
      <w:bookmarkStart w:id="34" w:name="_Toc782"/>
      <w:bookmarkStart w:id="35" w:name="_Toc31078"/>
      <w:bookmarkStart w:id="36" w:name="_Toc15672"/>
      <w:bookmarkStart w:id="37" w:name="_Toc27363"/>
      <w:r>
        <w:rPr>
          <w:rFonts w:hint="default" w:ascii="Times New Roman" w:hAnsi="Times New Roman" w:cs="Times New Roman"/>
          <w:sz w:val="24"/>
        </w:rPr>
        <w:t>6.1  环境条件</w:t>
      </w:r>
      <w:bookmarkEnd w:id="32"/>
      <w:bookmarkEnd w:id="33"/>
      <w:bookmarkEnd w:id="34"/>
      <w:bookmarkEnd w:id="35"/>
      <w:bookmarkEnd w:id="36"/>
      <w:bookmarkEnd w:id="37"/>
    </w:p>
    <w:p w14:paraId="0D801780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6.1.1  环境温度：（20~28）℃。</w:t>
      </w:r>
    </w:p>
    <w:p w14:paraId="56A382EF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6.1.2  相对湿度：≤65 % 。</w:t>
      </w:r>
    </w:p>
    <w:p w14:paraId="239A3E9B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6.1.3  其他：测量仪器周围无腐蚀性气体、强电场及强磁场干扰。</w:t>
      </w:r>
    </w:p>
    <w:p w14:paraId="0CF84747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38" w:name="_Toc27821"/>
      <w:bookmarkStart w:id="39" w:name="_Toc20792"/>
      <w:bookmarkStart w:id="40" w:name="_Toc188"/>
      <w:bookmarkStart w:id="41" w:name="_Toc27002"/>
      <w:bookmarkStart w:id="42" w:name="_Toc346"/>
      <w:bookmarkStart w:id="43" w:name="_Toc14133"/>
      <w:r>
        <w:rPr>
          <w:rFonts w:hint="default" w:ascii="Times New Roman" w:hAnsi="Times New Roman" w:cs="Times New Roman"/>
          <w:sz w:val="24"/>
        </w:rPr>
        <w:t xml:space="preserve">6.2  </w:t>
      </w:r>
      <w:bookmarkEnd w:id="38"/>
      <w:bookmarkEnd w:id="39"/>
      <w:bookmarkEnd w:id="40"/>
      <w:bookmarkEnd w:id="41"/>
      <w:bookmarkEnd w:id="42"/>
      <w:r>
        <w:rPr>
          <w:rFonts w:hint="default" w:ascii="Times New Roman" w:hAnsi="Times New Roman" w:cs="Times New Roman"/>
          <w:sz w:val="24"/>
        </w:rPr>
        <w:t>测量标准</w:t>
      </w:r>
      <w:bookmarkEnd w:id="43"/>
    </w:p>
    <w:p w14:paraId="6AF2CACD">
      <w:pPr>
        <w:widowControl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采用的</w:t>
      </w:r>
      <w:r>
        <w:rPr>
          <w:rStyle w:val="44"/>
          <w:rFonts w:hint="default" w:ascii="Times New Roman" w:hAnsi="Times New Roman" w:cs="Times New Roman"/>
          <w:sz w:val="24"/>
          <w:szCs w:val="24"/>
        </w:rPr>
        <w:t>标准物质</w:t>
      </w:r>
      <w:r>
        <w:rPr>
          <w:rStyle w:val="44"/>
          <w:rFonts w:hint="default" w:ascii="Times New Roman" w:hAnsi="Times New Roman" w:cs="Times New Roman"/>
          <w:sz w:val="24"/>
          <w:szCs w:val="24"/>
          <w:lang w:val="en-US" w:eastAsia="zh-CN"/>
        </w:rPr>
        <w:t>及</w:t>
      </w:r>
      <w:r>
        <w:rPr>
          <w:rFonts w:hint="default" w:ascii="Times New Roman" w:hAnsi="Times New Roman" w:cs="Times New Roman"/>
          <w:sz w:val="24"/>
        </w:rPr>
        <w:t>计量特性指标见表2：</w:t>
      </w:r>
    </w:p>
    <w:p w14:paraId="7EC06FE6">
      <w:pPr>
        <w:spacing w:line="360" w:lineRule="auto"/>
        <w:jc w:val="center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表2 测量标准一览表</w:t>
      </w:r>
    </w:p>
    <w:tbl>
      <w:tblPr>
        <w:tblStyle w:val="16"/>
        <w:tblW w:w="4181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2566"/>
      </w:tblGrid>
      <w:tr w14:paraId="5CE76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3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4ED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Style w:val="44"/>
                <w:rFonts w:hint="default" w:ascii="Times New Roman" w:hAnsi="Times New Roman" w:cs="Times New Roman"/>
                <w:lang w:bidi="ar"/>
              </w:rPr>
              <w:t>名称</w:t>
            </w:r>
          </w:p>
        </w:tc>
        <w:tc>
          <w:tcPr>
            <w:tcW w:w="1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6EA6B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color w:val="000000"/>
              </w:rPr>
            </w:pPr>
            <w:r>
              <w:rPr>
                <w:rStyle w:val="44"/>
                <w:rFonts w:hint="default" w:ascii="Times New Roman" w:hAnsi="Times New Roman" w:cs="Times New Roman"/>
                <w:lang w:bidi="ar"/>
              </w:rPr>
              <w:t>计量特性指标</w:t>
            </w:r>
          </w:p>
        </w:tc>
      </w:tr>
      <w:tr w14:paraId="72C81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3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1DE99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color w:val="000000"/>
              </w:rPr>
            </w:pPr>
            <w:r>
              <w:rPr>
                <w:rStyle w:val="44"/>
                <w:rFonts w:hint="default" w:ascii="Times New Roman" w:hAnsi="Times New Roman" w:cs="Times New Roman"/>
                <w:lang w:bidi="ar"/>
              </w:rPr>
              <w:t xml:space="preserve">X射线光电子能谱仪能量标度标准物质 </w:t>
            </w:r>
          </w:p>
        </w:tc>
        <w:tc>
          <w:tcPr>
            <w:tcW w:w="1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DC48"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color w:val="000000"/>
              </w:rPr>
            </w:pPr>
            <w:r>
              <w:rPr>
                <w:rStyle w:val="45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  <w:t>U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 w:bidi="ar"/>
              </w:rPr>
              <w:t>=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bidi="ar"/>
              </w:rPr>
              <w:t>0.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bidi="ar"/>
              </w:rPr>
              <w:t>0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lang w:bidi="ar"/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 w:bidi="ar"/>
              </w:rPr>
              <w:t>eV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lang w:bidi="ar"/>
              </w:rPr>
              <w:t xml:space="preserve"> </w:t>
            </w:r>
            <w:r>
              <w:rPr>
                <w:rStyle w:val="46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  <w:t>(</w:t>
            </w:r>
            <w:r>
              <w:rPr>
                <w:rStyle w:val="45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  <w:t>k</w:t>
            </w:r>
            <w:r>
              <w:rPr>
                <w:rStyle w:val="46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  <w:t>=2)</w:t>
            </w:r>
          </w:p>
        </w:tc>
      </w:tr>
      <w:tr w14:paraId="73F4C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3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2B8A3">
            <w:pPr>
              <w:widowControl/>
              <w:jc w:val="center"/>
              <w:textAlignment w:val="center"/>
              <w:rPr>
                <w:rStyle w:val="44"/>
                <w:rFonts w:hint="default" w:ascii="Times New Roman" w:hAnsi="Times New Roman" w:cs="Times New Roman"/>
                <w:lang w:bidi="ar"/>
              </w:rPr>
            </w:pPr>
            <w:r>
              <w:rPr>
                <w:rStyle w:val="44"/>
                <w:rFonts w:hint="default" w:ascii="Times New Roman" w:hAnsi="Times New Roman" w:cs="Times New Roman"/>
                <w:lang w:bidi="ar"/>
              </w:rPr>
              <w:t>X射线光电子能谱仪碳（C 1s）结合能标准物质</w:t>
            </w:r>
          </w:p>
        </w:tc>
        <w:tc>
          <w:tcPr>
            <w:tcW w:w="1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43E46">
            <w:pPr>
              <w:widowControl/>
              <w:jc w:val="center"/>
              <w:textAlignment w:val="center"/>
              <w:rPr>
                <w:rStyle w:val="45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</w:pPr>
            <w:r>
              <w:rPr>
                <w:rStyle w:val="45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  <w:t>U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 w:bidi="ar"/>
              </w:rPr>
              <w:t>=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bidi="ar"/>
              </w:rPr>
              <w:t>0.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 w:bidi="ar"/>
              </w:rPr>
              <w:t>12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lang w:bidi="ar"/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 w:bidi="ar"/>
              </w:rPr>
              <w:t>eV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lang w:bidi="ar"/>
              </w:rPr>
              <w:t xml:space="preserve"> </w:t>
            </w:r>
            <w:r>
              <w:rPr>
                <w:rStyle w:val="46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  <w:t>(</w:t>
            </w:r>
            <w:r>
              <w:rPr>
                <w:rStyle w:val="45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  <w:t>k</w:t>
            </w:r>
            <w:r>
              <w:rPr>
                <w:rStyle w:val="46"/>
                <w:rFonts w:hint="default" w:ascii="Times New Roman" w:hAnsi="Times New Roman" w:eastAsia="等线" w:cs="Times New Roman"/>
                <w:sz w:val="21"/>
                <w:szCs w:val="21"/>
                <w:lang w:bidi="ar"/>
              </w:rPr>
              <w:t>=2)</w:t>
            </w:r>
          </w:p>
        </w:tc>
      </w:tr>
    </w:tbl>
    <w:p w14:paraId="23541341">
      <w:pPr>
        <w:pStyle w:val="2"/>
        <w:spacing w:before="156" w:beforeLines="50" w:after="156" w:afterLines="50"/>
        <w:ind w:firstLine="0" w:firstLineChars="0"/>
        <w:rPr>
          <w:rFonts w:hint="default" w:ascii="Times New Roman" w:hAnsi="Times New Roman" w:eastAsia="黑体" w:cs="Times New Roman"/>
          <w:sz w:val="24"/>
          <w:szCs w:val="24"/>
        </w:rPr>
      </w:pPr>
      <w:bookmarkStart w:id="44" w:name="_Toc28690"/>
      <w:r>
        <w:rPr>
          <w:rFonts w:hint="default" w:ascii="Times New Roman" w:hAnsi="Times New Roman" w:eastAsia="黑体" w:cs="Times New Roman"/>
          <w:sz w:val="24"/>
          <w:szCs w:val="24"/>
        </w:rPr>
        <w:t>7  校准项目和校准方法</w:t>
      </w:r>
      <w:bookmarkEnd w:id="44"/>
    </w:p>
    <w:p w14:paraId="7E2EB3AB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45" w:name="_Toc24712"/>
      <w:bookmarkStart w:id="46" w:name="_Toc25022"/>
      <w:bookmarkStart w:id="47" w:name="_Toc13286"/>
      <w:bookmarkStart w:id="48" w:name="_Toc11820"/>
      <w:bookmarkStart w:id="49" w:name="_Toc17147"/>
      <w:bookmarkStart w:id="50" w:name="_Toc19540"/>
      <w:r>
        <w:rPr>
          <w:rFonts w:hint="default" w:ascii="Times New Roman" w:hAnsi="Times New Roman" w:cs="Times New Roman"/>
          <w:sz w:val="24"/>
        </w:rPr>
        <w:t>7.1  校准前准备</w:t>
      </w:r>
      <w:bookmarkEnd w:id="45"/>
      <w:bookmarkEnd w:id="46"/>
      <w:bookmarkEnd w:id="47"/>
      <w:bookmarkEnd w:id="48"/>
      <w:bookmarkEnd w:id="49"/>
      <w:bookmarkEnd w:id="50"/>
    </w:p>
    <w:p w14:paraId="6F251812">
      <w:pPr>
        <w:spacing w:line="360" w:lineRule="auto"/>
        <w:outlineLvl w:val="1"/>
        <w:rPr>
          <w:rFonts w:hint="default" w:ascii="Times New Roman" w:hAnsi="Times New Roman" w:eastAsia="宋体" w:cs="Times New Roman"/>
          <w:sz w:val="24"/>
          <w:lang w:val="en-US" w:eastAsia="zh-CN"/>
        </w:rPr>
      </w:pPr>
      <w:bookmarkStart w:id="51" w:name="_Toc25151"/>
      <w:r>
        <w:rPr>
          <w:rFonts w:hint="default" w:ascii="Times New Roman" w:hAnsi="Times New Roman" w:cs="Times New Roman"/>
          <w:sz w:val="24"/>
        </w:rPr>
        <w:t>7.1</w:t>
      </w:r>
      <w:r>
        <w:rPr>
          <w:rFonts w:hint="default" w:ascii="Times New Roman" w:hAnsi="Times New Roman" w:cs="Times New Roman"/>
          <w:sz w:val="24"/>
          <w:lang w:val="en-US" w:eastAsia="zh-CN"/>
        </w:rPr>
        <w:t>.1</w:t>
      </w:r>
      <w:r>
        <w:rPr>
          <w:rFonts w:hint="default" w:ascii="Times New Roman" w:hAnsi="Times New Roman" w:cs="Times New Roman"/>
          <w:sz w:val="24"/>
        </w:rPr>
        <w:t xml:space="preserve">  标准物质装载</w:t>
      </w:r>
      <w:bookmarkEnd w:id="51"/>
    </w:p>
    <w:p w14:paraId="168B093F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将X射线光电子能谱仪能量标度标准物质和X射线光电子能谱仪碳（C 1s）结合能标准物质放置于金属样品台上，用金属压片将其压紧，或采用导电胶在标准物质和样品上表面将样品粘在样品台上，如图1所示，目的是使标准物质与样品台之间接触良好。</w:t>
      </w:r>
    </w:p>
    <w:p w14:paraId="7FF895B1">
      <w:pPr>
        <w:spacing w:line="360" w:lineRule="auto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488565" cy="1372235"/>
            <wp:effectExtent l="0" t="0" r="6985" b="889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AA626">
      <w:pPr>
        <w:widowControl/>
        <w:spacing w:after="156" w:afterLines="50" w:line="360" w:lineRule="auto"/>
        <w:jc w:val="center"/>
        <w:rPr>
          <w:rFonts w:hint="default" w:ascii="Times New Roman" w:hAnsi="Times New Roman" w:eastAsia="宋体" w:cs="Times New Roman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highlight w:val="none"/>
          <w:lang w:val="en-US" w:eastAsia="zh-CN"/>
        </w:rPr>
        <w:t>图1 标准物质</w:t>
      </w:r>
      <w:r>
        <w:rPr>
          <w:rFonts w:hint="default" w:ascii="Times New Roman" w:hAnsi="Times New Roman" w:eastAsia="宋体" w:cs="Times New Roman"/>
          <w:szCs w:val="21"/>
          <w:highlight w:val="none"/>
        </w:rPr>
        <w:t>装载</w:t>
      </w:r>
      <w:r>
        <w:rPr>
          <w:rFonts w:hint="default" w:ascii="Times New Roman" w:hAnsi="Times New Roman" w:eastAsia="宋体" w:cs="Times New Roman"/>
          <w:szCs w:val="21"/>
          <w:highlight w:val="none"/>
          <w:lang w:val="en-US" w:eastAsia="zh-CN"/>
        </w:rPr>
        <w:t>示意图</w:t>
      </w:r>
      <w:r>
        <w:rPr>
          <w:rFonts w:hint="default" w:ascii="Times New Roman" w:hAnsi="Times New Roman" w:cs="Times New Roman"/>
          <w:szCs w:val="21"/>
          <w:highlight w:val="none"/>
          <w:lang w:val="en-US" w:eastAsia="zh-CN"/>
        </w:rPr>
        <w:t>（a）X射线光电子能谱仪能量标度标准物质；（b）X射线光电子能谱仪碳（C 1s）结合能标准物质</w:t>
      </w:r>
    </w:p>
    <w:p w14:paraId="6CF97222">
      <w:pPr>
        <w:spacing w:line="360" w:lineRule="auto"/>
        <w:outlineLvl w:val="1"/>
        <w:rPr>
          <w:rFonts w:hint="default" w:ascii="Times New Roman" w:hAnsi="Times New Roman" w:eastAsia="宋体" w:cs="Times New Roman"/>
          <w:sz w:val="24"/>
          <w:lang w:val="en-US" w:eastAsia="zh-CN"/>
        </w:rPr>
      </w:pPr>
      <w:bookmarkStart w:id="52" w:name="_Toc16785"/>
      <w:r>
        <w:rPr>
          <w:rFonts w:hint="default" w:ascii="Times New Roman" w:hAnsi="Times New Roman" w:cs="Times New Roman"/>
          <w:sz w:val="24"/>
        </w:rPr>
        <w:t>7.1</w:t>
      </w:r>
      <w:r>
        <w:rPr>
          <w:rFonts w:hint="default" w:ascii="Times New Roman" w:hAnsi="Times New Roman" w:cs="Times New Roman"/>
          <w:sz w:val="24"/>
          <w:lang w:val="en-US" w:eastAsia="zh-CN"/>
        </w:rPr>
        <w:t>.2</w:t>
      </w:r>
      <w:r>
        <w:rPr>
          <w:rFonts w:hint="default" w:ascii="Times New Roman" w:hAnsi="Times New Roman" w:cs="Times New Roman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  <w:lang w:val="en-US" w:eastAsia="zh-CN"/>
        </w:rPr>
        <w:t>仪器抽真空</w:t>
      </w:r>
      <w:bookmarkEnd w:id="52"/>
    </w:p>
    <w:p w14:paraId="2BBDE7B1">
      <w:pPr>
        <w:widowControl/>
        <w:spacing w:after="156" w:afterLines="50"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将样品台放入</w:t>
      </w:r>
      <w:r>
        <w:rPr>
          <w:rFonts w:hint="default" w:ascii="Times New Roman" w:hAnsi="Times New Roman" w:cs="Times New Roman"/>
          <w:sz w:val="24"/>
          <w:lang w:val="en-US" w:eastAsia="zh-CN"/>
        </w:rPr>
        <w:t>样品传递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仓中，并抽真空，当真空满足小于5×10</w:t>
      </w:r>
      <w:r>
        <w:rPr>
          <w:rFonts w:hint="default" w:ascii="Times New Roman" w:hAnsi="Times New Roman" w:eastAsia="宋体" w:cs="Times New Roman"/>
          <w:sz w:val="24"/>
          <w:vertAlign w:val="superscript"/>
          <w:lang w:val="en-US" w:eastAsia="zh-CN"/>
        </w:rPr>
        <w:t>-7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 xml:space="preserve"> mbar时，将样品台送入分析室</w:t>
      </w:r>
      <w:r>
        <w:rPr>
          <w:rFonts w:hint="default" w:ascii="Times New Roman" w:hAnsi="Times New Roman" w:cs="Times New Roman"/>
          <w:sz w:val="24"/>
          <w:lang w:val="en-US" w:eastAsia="zh-CN"/>
        </w:rPr>
        <w:t>准备测试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。</w:t>
      </w:r>
    </w:p>
    <w:p w14:paraId="24B1D290">
      <w:pPr>
        <w:spacing w:line="360" w:lineRule="auto"/>
        <w:outlineLvl w:val="1"/>
        <w:rPr>
          <w:rFonts w:hint="default" w:ascii="Times New Roman" w:hAnsi="Times New Roman" w:eastAsia="宋体" w:cs="Times New Roman"/>
          <w:sz w:val="24"/>
          <w:lang w:val="en-US" w:eastAsia="zh-CN"/>
        </w:rPr>
      </w:pPr>
      <w:bookmarkStart w:id="53" w:name="_Toc7403"/>
      <w:r>
        <w:rPr>
          <w:rFonts w:hint="default" w:ascii="Times New Roman" w:hAnsi="Times New Roman" w:cs="Times New Roman"/>
          <w:sz w:val="24"/>
        </w:rPr>
        <w:t>7.1</w:t>
      </w:r>
      <w:r>
        <w:rPr>
          <w:rFonts w:hint="default" w:ascii="Times New Roman" w:hAnsi="Times New Roman" w:cs="Times New Roman"/>
          <w:sz w:val="24"/>
          <w:lang w:val="en-US" w:eastAsia="zh-CN"/>
        </w:rPr>
        <w:t>.3</w:t>
      </w:r>
      <w:r>
        <w:rPr>
          <w:rFonts w:hint="default" w:ascii="Times New Roman" w:hAnsi="Times New Roman" w:cs="Times New Roman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  <w:lang w:val="en-US" w:eastAsia="zh-CN"/>
        </w:rPr>
        <w:t>样品清洁</w:t>
      </w:r>
      <w:bookmarkEnd w:id="53"/>
    </w:p>
    <w:p w14:paraId="0122AFC2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测试位置如图1中红色圆圈所示，采用离子溅射的方法清洁标准物质，例如，可以采用的参数设置为：离子能量为2000 eV，刻蚀时间为120 s。通过离子溅射减少标准物质上的表面污染物，直至C 1s和O 1s信号强度低于金属峰强度的2%。</w:t>
      </w:r>
    </w:p>
    <w:p w14:paraId="1B39A787">
      <w:pPr>
        <w:spacing w:line="360" w:lineRule="auto"/>
        <w:outlineLvl w:val="1"/>
        <w:rPr>
          <w:rFonts w:hint="default" w:ascii="Times New Roman" w:hAnsi="Times New Roman" w:cs="Times New Roman"/>
          <w:sz w:val="24"/>
          <w:lang w:val="en-US" w:eastAsia="zh-CN"/>
        </w:rPr>
      </w:pPr>
      <w:bookmarkStart w:id="54" w:name="_Toc6939"/>
      <w:r>
        <w:rPr>
          <w:rFonts w:hint="default" w:ascii="Times New Roman" w:hAnsi="Times New Roman" w:cs="Times New Roman"/>
          <w:sz w:val="24"/>
        </w:rPr>
        <w:t>7.1</w:t>
      </w:r>
      <w:r>
        <w:rPr>
          <w:rFonts w:hint="default" w:ascii="Times New Roman" w:hAnsi="Times New Roman" w:cs="Times New Roman"/>
          <w:sz w:val="24"/>
          <w:lang w:val="en-US" w:eastAsia="zh-CN"/>
        </w:rPr>
        <w:t>.4</w:t>
      </w:r>
      <w:r>
        <w:rPr>
          <w:rFonts w:hint="default" w:ascii="Times New Roman" w:hAnsi="Times New Roman" w:cs="Times New Roman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  <w:lang w:val="en-US" w:eastAsia="zh-CN"/>
        </w:rPr>
        <w:t>参数设置</w:t>
      </w:r>
      <w:bookmarkEnd w:id="54"/>
    </w:p>
    <w:p w14:paraId="03E0D72E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校准参数设置如表3所示，其中束斑大小和通能大小根据仪器实际情况设置，较大束斑和通能可以获得较好的信噪比。</w:t>
      </w:r>
    </w:p>
    <w:p w14:paraId="481471C0">
      <w:pPr>
        <w:spacing w:line="360" w:lineRule="auto"/>
        <w:jc w:val="center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表3 校准参数</w:t>
      </w:r>
      <w:r>
        <w:rPr>
          <w:rFonts w:hint="default" w:ascii="Times New Roman" w:hAnsi="Times New Roman" w:eastAsia="黑体" w:cs="Times New Roman"/>
        </w:rPr>
        <w:t>设置</w:t>
      </w:r>
    </w:p>
    <w:tbl>
      <w:tblPr>
        <w:tblStyle w:val="16"/>
        <w:tblW w:w="78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5865"/>
      </w:tblGrid>
      <w:tr w14:paraId="4F8BA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A8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参数名称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F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参数设置</w:t>
            </w:r>
          </w:p>
        </w:tc>
      </w:tr>
      <w:tr w14:paraId="221FD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04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是否开中和枪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3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41AD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7B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束斑大小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99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通常为200 μm~650 μm，按仪器实际情况设置。</w:t>
            </w:r>
          </w:p>
        </w:tc>
      </w:tr>
      <w:tr w14:paraId="6141C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F98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通能大小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91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通常为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 eV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~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eV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，按仪器实际情况设置。</w:t>
            </w:r>
          </w:p>
        </w:tc>
      </w:tr>
      <w:tr w14:paraId="0598B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4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扫描步长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C3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 eV</w:t>
            </w:r>
          </w:p>
        </w:tc>
      </w:tr>
      <w:tr w14:paraId="386C2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33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停留时间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8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ms</w:t>
            </w:r>
          </w:p>
        </w:tc>
      </w:tr>
      <w:tr w14:paraId="3CBE7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1D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扫描次数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DD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</w:tr>
    </w:tbl>
    <w:p w14:paraId="10B17488">
      <w:pPr>
        <w:autoSpaceDE w:val="0"/>
        <w:autoSpaceDN w:val="0"/>
        <w:spacing w:after="0" w:line="360" w:lineRule="auto"/>
        <w:jc w:val="both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</w:p>
    <w:p w14:paraId="0E919DE8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55" w:name="_Toc15174"/>
      <w:r>
        <w:rPr>
          <w:rFonts w:hint="default" w:ascii="Times New Roman" w:hAnsi="Times New Roman" w:cs="Times New Roman"/>
          <w:sz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</w:rPr>
        <w:t xml:space="preserve">.2  </w:t>
      </w:r>
      <w:r>
        <w:rPr>
          <w:rFonts w:hint="default" w:ascii="Times New Roman" w:hAnsi="Times New Roman" w:cs="Times New Roman"/>
          <w:sz w:val="24"/>
          <w:lang w:val="en-US" w:eastAsia="zh-CN"/>
        </w:rPr>
        <w:t>结合能测量</w:t>
      </w:r>
      <w:r>
        <w:rPr>
          <w:rFonts w:hint="default" w:ascii="Times New Roman" w:hAnsi="Times New Roman" w:cs="Times New Roman"/>
          <w:sz w:val="24"/>
        </w:rPr>
        <w:t>重复性</w:t>
      </w:r>
      <w:bookmarkEnd w:id="55"/>
    </w:p>
    <w:p w14:paraId="308B6F6C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按7.1中所述的参数设置依次先后分别测试X射线光电子能谱仪能量标度标准物质的Au 4f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7/2</w:t>
      </w:r>
      <w:r>
        <w:rPr>
          <w:rFonts w:hint="default" w:ascii="Times New Roman" w:hAnsi="Times New Roman" w:cs="Times New Roman"/>
          <w:sz w:val="24"/>
          <w:lang w:val="en-US" w:eastAsia="zh-CN"/>
        </w:rPr>
        <w:t>、Cu 2p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3/2</w:t>
      </w:r>
      <w:r>
        <w:rPr>
          <w:rFonts w:hint="default" w:ascii="Times New Roman" w:hAnsi="Times New Roman" w:cs="Times New Roman"/>
          <w:sz w:val="24"/>
          <w:lang w:val="en-US" w:eastAsia="zh-CN"/>
        </w:rPr>
        <w:t>和Ag 3d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5/2</w:t>
      </w:r>
      <w:r>
        <w:rPr>
          <w:rFonts w:hint="default" w:ascii="Times New Roman" w:hAnsi="Times New Roman" w:cs="Times New Roman"/>
          <w:sz w:val="24"/>
          <w:lang w:val="en-US" w:eastAsia="zh-CN"/>
        </w:rPr>
        <w:t>峰，作为1遍，重复测试5遍。</w:t>
      </w:r>
    </w:p>
    <w:p w14:paraId="45CDB99E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测试完毕，测试X射线光电子能谱仪碳（C 1s）结合能标准物质的C 1s窄谱，重复测试5遍。</w:t>
      </w:r>
    </w:p>
    <w:p w14:paraId="68ED35C1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采用Smart方法，设定窄谱的背底扣除区间进行背底扣除：</w:t>
      </w:r>
    </w:p>
    <w:p w14:paraId="5D3A5682">
      <w:pPr>
        <w:pStyle w:val="49"/>
        <w:spacing w:after="0" w:line="360" w:lineRule="auto"/>
        <w:ind w:firstLine="480"/>
        <w:jc w:val="both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Au 4f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7/2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背底</w:t>
      </w:r>
      <w:r>
        <w:rPr>
          <w:rFonts w:hint="default" w:ascii="Times New Roman" w:hAnsi="Times New Roman" w:eastAsia="宋体" w:cs="Times New Roman"/>
          <w:sz w:val="24"/>
          <w:highlight w:val="none"/>
        </w:rPr>
        <w:t>扣除的区间：</w:t>
      </w:r>
      <w:r>
        <w:rPr>
          <w:rFonts w:hint="default" w:ascii="Times New Roman" w:hAnsi="Times New Roman" w:cs="Times New Roman"/>
          <w:bCs/>
          <w:sz w:val="24"/>
          <w:highlight w:val="none"/>
          <w:lang w:val="en-US" w:eastAsia="zh-CN"/>
        </w:rPr>
        <w:t>81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.00 eV~</w:t>
      </w:r>
      <w:r>
        <w:rPr>
          <w:rFonts w:hint="default" w:ascii="Times New Roman" w:hAnsi="Times New Roman" w:cs="Times New Roman"/>
          <w:bCs/>
          <w:sz w:val="24"/>
          <w:highlight w:val="none"/>
          <w:lang w:val="en-US" w:eastAsia="zh-CN"/>
        </w:rPr>
        <w:t>86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.00 eV；</w:t>
      </w:r>
    </w:p>
    <w:p w14:paraId="6EBDFF68">
      <w:pPr>
        <w:pStyle w:val="49"/>
        <w:spacing w:after="0" w:line="360" w:lineRule="auto"/>
        <w:ind w:firstLine="480"/>
        <w:jc w:val="both"/>
        <w:rPr>
          <w:rFonts w:hint="default" w:ascii="Times New Roman" w:hAnsi="Times New Roman" w:eastAsia="宋体" w:cs="Times New Roman"/>
          <w:bCs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Cu 2p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3/2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背底</w:t>
      </w:r>
      <w:r>
        <w:rPr>
          <w:rFonts w:hint="default" w:ascii="Times New Roman" w:hAnsi="Times New Roman" w:eastAsia="宋体" w:cs="Times New Roman"/>
          <w:sz w:val="24"/>
          <w:highlight w:val="none"/>
        </w:rPr>
        <w:t>扣除的区间：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928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.00 eV~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937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.00 eV；</w:t>
      </w:r>
    </w:p>
    <w:p w14:paraId="170A643A">
      <w:pPr>
        <w:pStyle w:val="49"/>
        <w:spacing w:after="0" w:line="360" w:lineRule="auto"/>
        <w:ind w:firstLine="480"/>
        <w:jc w:val="both"/>
        <w:rPr>
          <w:rFonts w:hint="default" w:ascii="Times New Roman" w:hAnsi="Times New Roman" w:eastAsia="宋体" w:cs="Times New Roman"/>
          <w:bCs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Ag 3d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5/2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背底</w:t>
      </w:r>
      <w:r>
        <w:rPr>
          <w:rFonts w:hint="default" w:ascii="Times New Roman" w:hAnsi="Times New Roman" w:eastAsia="宋体" w:cs="Times New Roman"/>
          <w:sz w:val="24"/>
          <w:highlight w:val="none"/>
        </w:rPr>
        <w:t>扣除的区间：</w:t>
      </w:r>
      <w:r>
        <w:rPr>
          <w:rFonts w:hint="default" w:ascii="Times New Roman" w:hAnsi="Times New Roman" w:cs="Times New Roman"/>
          <w:bCs/>
          <w:sz w:val="24"/>
          <w:highlight w:val="none"/>
          <w:lang w:val="en-US" w:eastAsia="zh-CN"/>
        </w:rPr>
        <w:t>365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.00 eV~</w:t>
      </w:r>
      <w:r>
        <w:rPr>
          <w:rFonts w:hint="default" w:ascii="Times New Roman" w:hAnsi="Times New Roman" w:cs="Times New Roman"/>
          <w:bCs/>
          <w:sz w:val="24"/>
          <w:highlight w:val="none"/>
          <w:lang w:val="en-US" w:eastAsia="zh-CN"/>
        </w:rPr>
        <w:t>371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.00 eV；</w:t>
      </w:r>
    </w:p>
    <w:p w14:paraId="47740B5D">
      <w:pPr>
        <w:pStyle w:val="49"/>
        <w:spacing w:after="0" w:line="360" w:lineRule="auto"/>
        <w:ind w:firstLine="480"/>
        <w:jc w:val="both"/>
        <w:rPr>
          <w:rFonts w:hint="default" w:ascii="Times New Roman" w:hAnsi="Times New Roman" w:eastAsia="宋体" w:cs="Times New Roman"/>
          <w:bCs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C 1s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背底</w:t>
      </w:r>
      <w:r>
        <w:rPr>
          <w:rFonts w:hint="default" w:ascii="Times New Roman" w:hAnsi="Times New Roman" w:eastAsia="宋体" w:cs="Times New Roman"/>
          <w:sz w:val="24"/>
          <w:highlight w:val="none"/>
        </w:rPr>
        <w:t>扣除的区间：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2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81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.00 eV~29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Cs/>
          <w:sz w:val="24"/>
          <w:highlight w:val="none"/>
        </w:rPr>
        <w:t>.00 eV</w:t>
      </w:r>
    </w:p>
    <w:p w14:paraId="0898B834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highlight w:val="none"/>
        </w:rPr>
      </w:pP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扣除背底</w:t>
      </w:r>
      <w:r>
        <w:rPr>
          <w:rFonts w:hint="default" w:ascii="Times New Roman" w:hAnsi="Times New Roman" w:cs="Times New Roman"/>
          <w:bCs/>
          <w:sz w:val="24"/>
          <w:highlight w:val="none"/>
          <w:lang w:val="en-US" w:eastAsia="zh-CN"/>
        </w:rPr>
        <w:t>后得到</w: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结合能即为</w:t>
      </w:r>
      <w:r>
        <w:rPr>
          <w:rFonts w:hint="default" w:ascii="Times New Roman" w:hAnsi="Times New Roman" w:cs="Times New Roman"/>
          <w:sz w:val="24"/>
          <w:lang w:val="en-US" w:eastAsia="zh-CN"/>
        </w:rPr>
        <w:t>Au 4f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7/2</w:t>
      </w:r>
      <w:r>
        <w:rPr>
          <w:rFonts w:hint="default" w:ascii="Times New Roman" w:hAnsi="Times New Roman" w:cs="Times New Roman"/>
          <w:sz w:val="24"/>
          <w:lang w:val="en-US" w:eastAsia="zh-CN"/>
        </w:rPr>
        <w:t>、Cu 2p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3/2</w:t>
      </w:r>
      <w:r>
        <w:rPr>
          <w:rFonts w:hint="default" w:ascii="Times New Roman" w:hAnsi="Times New Roman" w:cs="Times New Roman"/>
          <w:sz w:val="24"/>
          <w:lang w:val="en-US" w:eastAsia="zh-CN"/>
        </w:rPr>
        <w:t>、Ag 3d</w:t>
      </w:r>
      <w:r>
        <w:rPr>
          <w:rFonts w:hint="default" w:ascii="Times New Roman" w:hAnsi="Times New Roman" w:cs="Times New Roman"/>
          <w:sz w:val="24"/>
          <w:vertAlign w:val="subscript"/>
          <w:lang w:val="en-US" w:eastAsia="zh-CN"/>
        </w:rPr>
        <w:t>5/2</w:t>
      </w:r>
      <w:r>
        <w:rPr>
          <w:rFonts w:hint="default" w:ascii="Times New Roman" w:hAnsi="Times New Roman" w:cs="Times New Roman"/>
          <w:sz w:val="24"/>
          <w:vertAlign w:val="baseline"/>
          <w:lang w:val="en-US" w:eastAsia="zh-CN"/>
        </w:rPr>
        <w:t>和</w:t>
      </w:r>
      <w:r>
        <w:rPr>
          <w:rFonts w:hint="default" w:ascii="Times New Roman" w:hAnsi="Times New Roman" w:cs="Times New Roman"/>
          <w:sz w:val="24"/>
          <w:lang w:val="en-US" w:eastAsia="zh-CN"/>
        </w:rPr>
        <w:t>C 1s峰</w:t>
      </w:r>
      <w:r>
        <w:rPr>
          <w:rFonts w:hint="default" w:ascii="Times New Roman" w:hAnsi="Times New Roman" w:eastAsia="宋体" w:cs="Times New Roman"/>
          <w:bCs/>
          <w:sz w:val="24"/>
          <w:highlight w:val="none"/>
          <w:lang w:val="en-US" w:eastAsia="zh-CN"/>
        </w:rPr>
        <w:t>结合能测量值</w: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，测量值保留小数点后2位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sz w:val="24"/>
          <w:highlight w:val="none"/>
          <w:lang w:eastAsia="zh"/>
        </w:rPr>
        <w:t xml:space="preserve"> </w:t>
      </w:r>
    </w:p>
    <w:p w14:paraId="760ACFCF">
      <w:pPr>
        <w:tabs>
          <w:tab w:val="left" w:pos="0"/>
          <w:tab w:val="left" w:pos="360"/>
        </w:tabs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计算结合能</w:t>
      </w:r>
      <w:r>
        <w:rPr>
          <w:rFonts w:hint="default" w:ascii="Times New Roman" w:hAnsi="Times New Roman" w:cs="Times New Roman"/>
          <w:sz w:val="24"/>
        </w:rPr>
        <w:t>的实验标准差</w:t>
      </w:r>
      <w:r>
        <w:rPr>
          <w:rFonts w:hint="default" w:ascii="Times New Roman" w:hAnsi="Times New Roman" w:cs="Times New Roman"/>
          <w:sz w:val="24"/>
          <w:lang w:val="en-US" w:eastAsia="zh-CN"/>
        </w:rPr>
        <w:t>作</w:t>
      </w:r>
      <w:r>
        <w:rPr>
          <w:rFonts w:hint="default" w:ascii="Times New Roman" w:hAnsi="Times New Roman" w:cs="Times New Roman"/>
          <w:sz w:val="24"/>
        </w:rPr>
        <w:t>为</w:t>
      </w:r>
      <w:r>
        <w:rPr>
          <w:rFonts w:hint="default" w:ascii="Times New Roman" w:hAnsi="Times New Roman" w:cs="Times New Roman"/>
          <w:sz w:val="24"/>
          <w:lang w:val="en-US" w:eastAsia="zh-CN"/>
        </w:rPr>
        <w:t>结合能</w:t>
      </w:r>
      <w:r>
        <w:rPr>
          <w:rFonts w:hint="default" w:ascii="Times New Roman" w:hAnsi="Times New Roman" w:cs="Times New Roman"/>
          <w:sz w:val="24"/>
        </w:rPr>
        <w:t>的测量重复性：</w:t>
      </w:r>
    </w:p>
    <w:p w14:paraId="2E6C6A54">
      <w:pPr>
        <w:tabs>
          <w:tab w:val="left" w:pos="0"/>
          <w:tab w:val="left" w:pos="360"/>
        </w:tabs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</w:p>
    <w:p w14:paraId="5F0C9250">
      <w:pPr>
        <w:pStyle w:val="50"/>
        <w:jc w:val="right"/>
        <w:rPr>
          <w:rFonts w:hint="default" w:ascii="Times New Roman" w:hAnsi="Times New Roman" w:cs="Times New Roman"/>
        </w:rPr>
      </w:pPr>
      <m:oMath>
        <m:r>
          <m:rPr/>
          <w:rPr>
            <w:rFonts w:hint="default" w:ascii="Cambria Math" w:hAnsi="Cambria Math" w:cs="Times New Roman"/>
            <w:sz w:val="24"/>
            <w:highlight w:val="none"/>
            <w:lang w:val="en-US" w:eastAsia="zh-CN"/>
          </w:rPr>
          <m:t>s</m:t>
        </m:r>
        <m:d>
          <m:dPr>
            <m:ctrlPr>
              <w:rPr>
                <w:rFonts w:hint="default" w:ascii="Cambria Math" w:hAnsi="Cambria Math" w:cs="Times New Roman"/>
                <w:i/>
                <w:sz w:val="24"/>
                <w:highlight w:val="no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x</m:t>
            </m:r>
            <m:ctrlPr>
              <w:rPr>
                <w:rFonts w:hint="default" w:ascii="Cambria Math" w:hAnsi="Cambria Math" w:cs="Times New Roman"/>
                <w:i/>
                <w:sz w:val="24"/>
                <w:highlight w:val="none"/>
                <w:lang w:val="en-US" w:eastAsia="zh-CN"/>
              </w:rPr>
            </m:ctrlPr>
          </m:e>
        </m:d>
        <m:r>
          <m:rPr/>
          <w:rPr>
            <w:rFonts w:hint="default" w:ascii="Cambria Math" w:hAnsi="Cambria Math" w:cs="Times New Roman"/>
            <w:sz w:val="24"/>
          </w:rPr>
          <m:t>=</m:t>
        </m:r>
        <m:rad>
          <m:radPr>
            <m:degHide m:val="1"/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radPr>
          <m:deg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deg>
          <m:e>
            <m:f>
              <m:fPr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hint="default" w:ascii="Cambria Math" w:hAnsi="Cambria Math" w:eastAsia="等线" w:cs="Times New Roman"/>
                        <w:color w:val="000000"/>
                        <w:kern w:val="24"/>
                        <w:sz w:val="24"/>
                      </w:rPr>
                      <m:t>i=1</m:t>
                    </m:r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hint="default" w:ascii="Cambria Math" w:hAnsi="Cambria Math" w:eastAsia="等线" w:cs="Times New Roman"/>
                        <w:color w:val="000000"/>
                        <w:kern w:val="24"/>
                        <w:sz w:val="24"/>
                      </w:rPr>
                      <m:t>n</m:t>
                    </m:r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hint="default" w:ascii="Cambria Math" w:hAnsi="Cambria Math" w:eastAsia="等线" w:cs="Times New Roman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vertAlign w:val="subscript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hint="default" w:ascii="Cambria Math" w:hAnsi="Cambria Math" w:eastAsia="等线" w:cs="Times New Roman"/>
                                <w:color w:val="000000"/>
                                <w:kern w:val="24"/>
                                <w:sz w:val="24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hint="default" w:ascii="Cambria Math" w:hAnsi="Cambria Math" w:eastAsia="等线" w:cs="Times New Roman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e>
                        </m:d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e>
                      <m:sup>
                        <m:r>
                          <m:rPr/>
                          <w:rPr>
                            <w:rFonts w:hint="default" w:ascii="Cambria Math" w:hAnsi="Cambria Math" w:eastAsia="等线" w:cs="Times New Roman"/>
                            <w:color w:val="000000"/>
                            <w:kern w:val="24"/>
                            <w:sz w:val="24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up>
                    </m:sSup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e>
                </m:nary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num>
              <m:den>
                <m:r>
                  <m:rPr/>
                  <w:rPr>
                    <w:rFonts w:hint="default" w:ascii="Cambria Math" w:hAnsi="Cambria Math" w:eastAsia="等线" w:cs="Times New Roman"/>
                    <w:color w:val="000000"/>
                    <w:kern w:val="24"/>
                    <w:sz w:val="24"/>
                  </w:rPr>
                  <m:t>n−1</m:t>
                </m:r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den>
            </m:f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e>
        </m:rad>
      </m:oMath>
      <w:r>
        <w:rPr>
          <w:rFonts w:hint="default" w:ascii="Times New Roman" w:hAnsi="Times New Roman" w:eastAsia="等线" w:cs="Times New Roman"/>
          <w:i w:val="0"/>
          <w:iCs/>
          <w:color w:val="000000"/>
          <w:kern w:val="24"/>
          <w:sz w:val="24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）</w:t>
      </w:r>
    </w:p>
    <w:p w14:paraId="41385846">
      <w:pPr>
        <w:pStyle w:val="51"/>
        <w:jc w:val="both"/>
        <w:rPr>
          <w:rFonts w:hint="default" w:ascii="Times New Roman" w:hAnsi="Times New Roman" w:eastAsia="宋体" w:cs="Times New Roman"/>
          <w:bCs/>
          <w:kern w:val="2"/>
          <w:sz w:val="24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kern w:val="2"/>
          <w:sz w:val="24"/>
          <w:szCs w:val="21"/>
          <w:lang w:val="en-US" w:eastAsia="zh-CN" w:bidi="ar-SA"/>
        </w:rPr>
        <w:t>式中：</w:t>
      </w:r>
    </w:p>
    <w:p w14:paraId="7285C9F3">
      <w:pPr>
        <w:pStyle w:val="5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i/>
          <w:iCs/>
          <w:sz w:val="24"/>
          <w:lang w:val="en-US" w:eastAsia="zh-CN"/>
        </w:rPr>
        <w:t>s</w:t>
      </w:r>
      <w:r>
        <w:rPr>
          <w:rFonts w:hint="default" w:ascii="Times New Roman" w:hAnsi="Times New Roman" w:cs="Times New Roman"/>
          <w:i w:val="0"/>
          <w:sz w:val="24"/>
          <w:lang w:val="en-US" w:eastAsia="zh-CN"/>
        </w:rPr>
        <w:t>(</w:t>
      </w:r>
      <w:r>
        <w:rPr>
          <w:rFonts w:hint="default" w:ascii="Times New Roman" w:hAnsi="Times New Roman" w:cs="Times New Roman"/>
          <w:i/>
          <w:iCs/>
          <w:sz w:val="24"/>
          <w:lang w:val="en-US" w:eastAsia="zh-CN"/>
        </w:rPr>
        <w:t>x</w:t>
      </w:r>
      <w:r>
        <w:rPr>
          <w:rFonts w:hint="default" w:ascii="Times New Roman" w:hAnsi="Times New Roman" w:cs="Times New Roman"/>
          <w:i w:val="0"/>
          <w:sz w:val="24"/>
          <w:lang w:val="en-US" w:eastAsia="zh-CN"/>
        </w:rPr>
        <w:t>)</w:t>
      </w:r>
      <w:r>
        <w:rPr>
          <w:rFonts w:hint="default" w:ascii="Times New Roman" w:hAnsi="Times New Roman" w:cs="Times New Roman"/>
          <w:sz w:val="24"/>
        </w:rPr>
        <w:t>——</w:t>
      </w:r>
      <w:r>
        <w:rPr>
          <w:rFonts w:hint="default" w:ascii="Times New Roman" w:hAnsi="Times New Roman" w:cs="Times New Roman"/>
          <w:sz w:val="24"/>
          <w:lang w:val="en-US" w:eastAsia="zh-CN"/>
        </w:rPr>
        <w:t>结合能测量</w:t>
      </w:r>
      <w:r>
        <w:rPr>
          <w:rFonts w:hint="default" w:ascii="Times New Roman" w:hAnsi="Times New Roman" w:cs="Times New Roman"/>
          <w:sz w:val="24"/>
        </w:rPr>
        <w:t>重复性，</w:t>
      </w:r>
      <w:r>
        <w:rPr>
          <w:rFonts w:hint="default" w:ascii="Times New Roman" w:hAnsi="Times New Roman" w:cs="Times New Roman"/>
          <w:sz w:val="24"/>
          <w:lang w:val="en-US" w:eastAsia="zh-CN"/>
        </w:rPr>
        <w:t>eV</w:t>
      </w:r>
      <w:r>
        <w:rPr>
          <w:rFonts w:hint="default" w:ascii="Times New Roman" w:hAnsi="Times New Roman" w:cs="Times New Roman"/>
          <w:sz w:val="24"/>
        </w:rPr>
        <w:t>；</w:t>
      </w:r>
    </w:p>
    <w:p w14:paraId="3DCDAE0B">
      <w:pPr>
        <w:pStyle w:val="50"/>
        <w:rPr>
          <w:rFonts w:hint="default" w:ascii="Times New Roman" w:hAnsi="Times New Roman" w:cs="Times New Roman"/>
          <w:bCs/>
        </w:rPr>
      </w:pPr>
      <m:oMath>
        <m:sSub>
          <m:sSubP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x</m:t>
            </m: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e>
          <m:sub>
            <m:r>
              <m:rPr/>
              <w:rPr>
                <w:rFonts w:hint="default" w:ascii="Cambria Math" w:hAnsi="Cambria Math" w:cs="Times New Roman"/>
                <w:sz w:val="24"/>
                <w:vertAlign w:val="subscript"/>
              </w:rPr>
              <m:t>i</m:t>
            </m: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</w:rPr>
        <w:t>——</w:t>
      </w:r>
      <w:r>
        <w:rPr>
          <w:rFonts w:hint="default" w:ascii="Times New Roman" w:hAnsi="Times New Roman" w:cs="Times New Roman"/>
          <w:bCs/>
        </w:rPr>
        <w:t>第</w:t>
      </w:r>
      <w:r>
        <w:rPr>
          <w:rFonts w:hint="default" w:ascii="Times New Roman" w:hAnsi="Times New Roman" w:cs="Times New Roman"/>
          <w:bCs/>
          <w:i/>
          <w:iCs/>
        </w:rPr>
        <w:t>i</w:t>
      </w:r>
      <w:r>
        <w:rPr>
          <w:rFonts w:hint="default" w:ascii="Times New Roman" w:hAnsi="Times New Roman" w:cs="Times New Roman"/>
          <w:bCs/>
        </w:rPr>
        <w:t>次的</w:t>
      </w:r>
      <w:r>
        <w:rPr>
          <w:rFonts w:hint="default" w:ascii="Times New Roman" w:hAnsi="Times New Roman" w:cs="Times New Roman"/>
          <w:bCs/>
          <w:lang w:val="en-US" w:eastAsia="zh-CN"/>
        </w:rPr>
        <w:t>结合能</w:t>
      </w:r>
      <w:r>
        <w:rPr>
          <w:rFonts w:hint="default" w:ascii="Times New Roman" w:hAnsi="Times New Roman" w:cs="Times New Roman"/>
          <w:bCs/>
        </w:rPr>
        <w:t>测量值</w:t>
      </w:r>
      <w:r>
        <w:rPr>
          <w:rFonts w:hint="default" w:ascii="Times New Roman" w:hAnsi="Times New Roman" w:cs="Times New Roman"/>
          <w:sz w:val="24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eV</w:t>
      </w:r>
      <w:r>
        <w:rPr>
          <w:rFonts w:hint="default" w:ascii="Times New Roman" w:hAnsi="Times New Roman" w:cs="Times New Roman"/>
          <w:sz w:val="24"/>
        </w:rPr>
        <w:t>；</w:t>
      </w:r>
    </w:p>
    <w:p w14:paraId="4EB0BDE6">
      <w:pPr>
        <w:pStyle w:val="50"/>
        <w:rPr>
          <w:rFonts w:hint="default" w:ascii="Times New Roman" w:hAnsi="Times New Roman" w:eastAsia="宋体" w:cs="Times New Roman"/>
          <w:bCs/>
          <w:lang w:eastAsia="zh-CN"/>
        </w:rPr>
      </w:pPr>
      <m:oMath>
        <m:acc>
          <m:accPr>
            <m:chr m:val="̅"/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acc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x</m:t>
            </m: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e>
        </m:acc>
      </m:oMath>
      <w:r>
        <w:rPr>
          <w:rFonts w:hint="default" w:ascii="Times New Roman" w:hAnsi="Times New Roman" w:cs="Times New Roman"/>
          <w:sz w:val="24"/>
        </w:rPr>
        <w:t>——</w:t>
      </w:r>
      <w:r>
        <w:rPr>
          <w:rFonts w:hint="default" w:ascii="Times New Roman" w:hAnsi="Times New Roman" w:cs="Times New Roman"/>
          <w:bCs/>
          <w:lang w:val="en-US" w:eastAsia="zh-CN"/>
        </w:rPr>
        <w:t>结合能的</w:t>
      </w:r>
      <w:r>
        <w:rPr>
          <w:rFonts w:hint="default" w:ascii="Times New Roman" w:hAnsi="Times New Roman" w:cs="Times New Roman"/>
          <w:bCs/>
        </w:rPr>
        <w:t>测量值的平均值</w:t>
      </w:r>
      <w:r>
        <w:rPr>
          <w:rFonts w:hint="default" w:ascii="Times New Roman" w:hAnsi="Times New Roman" w:cs="Times New Roman"/>
          <w:sz w:val="24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eV</w:t>
      </w:r>
      <w:r>
        <w:rPr>
          <w:rFonts w:hint="default" w:ascii="Times New Roman" w:hAnsi="Times New Roman" w:cs="Times New Roman"/>
          <w:sz w:val="24"/>
        </w:rPr>
        <w:t>；</w:t>
      </w:r>
    </w:p>
    <w:p w14:paraId="43E546A1">
      <w:pPr>
        <w:pStyle w:val="50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i/>
          <w:iCs/>
          <w:sz w:val="24"/>
          <w:highlight w:val="none"/>
          <w:lang w:val="en-US" w:eastAsia="zh-CN"/>
        </w:rPr>
        <w:t>n</w:t>
      </w:r>
      <w:r>
        <w:rPr>
          <w:rFonts w:hint="default" w:ascii="Times New Roman" w:hAnsi="Times New Roman" w:cs="Times New Roman"/>
          <w:sz w:val="24"/>
        </w:rPr>
        <w:t>——</w:t>
      </w:r>
      <w:r>
        <w:rPr>
          <w:rFonts w:hint="default" w:ascii="Times New Roman" w:hAnsi="Times New Roman" w:cs="Times New Roman"/>
          <w:bCs/>
        </w:rPr>
        <w:t>测量次数；</w:t>
      </w:r>
    </w:p>
    <w:p w14:paraId="4DD35E49">
      <w:pPr>
        <w:pStyle w:val="50"/>
        <w:rPr>
          <w:rFonts w:hint="default" w:ascii="Times New Roman" w:hAnsi="Times New Roman" w:eastAsia="宋体" w:cs="Times New Roman"/>
          <w:bCs/>
          <w:lang w:eastAsia="zh-CN"/>
        </w:rPr>
      </w:pPr>
      <w:r>
        <w:rPr>
          <w:rFonts w:hint="default" w:ascii="Times New Roman" w:hAnsi="Times New Roman" w:cs="Times New Roman"/>
          <w:i/>
          <w:iCs/>
          <w:sz w:val="24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</w:rPr>
        <w:t>——</w:t>
      </w:r>
      <w:r>
        <w:rPr>
          <w:rFonts w:hint="default" w:ascii="Times New Roman" w:hAnsi="Times New Roman" w:cs="Times New Roman"/>
          <w:bCs/>
        </w:rPr>
        <w:t>测量次序号</w:t>
      </w:r>
      <w:r>
        <w:rPr>
          <w:rFonts w:hint="default" w:ascii="Times New Roman" w:hAnsi="Times New Roman" w:cs="Times New Roman"/>
          <w:bCs/>
          <w:lang w:eastAsia="zh-CN"/>
        </w:rPr>
        <w:t>。</w:t>
      </w:r>
    </w:p>
    <w:p w14:paraId="75F894E4">
      <w:pPr>
        <w:spacing w:line="360" w:lineRule="auto"/>
        <w:outlineLvl w:val="1"/>
        <w:rPr>
          <w:rFonts w:hint="default" w:ascii="Times New Roman" w:hAnsi="Times New Roman" w:cs="Times New Roman"/>
          <w:sz w:val="24"/>
        </w:rPr>
      </w:pPr>
      <w:bookmarkStart w:id="56" w:name="_Toc26690"/>
      <w:r>
        <w:rPr>
          <w:rFonts w:hint="default" w:ascii="Times New Roman" w:hAnsi="Times New Roman" w:cs="Times New Roman"/>
          <w:sz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  <w:lang w:val="en-US" w:eastAsia="zh-CN"/>
        </w:rPr>
        <w:t>结合能</w:t>
      </w:r>
      <w:r>
        <w:rPr>
          <w:rFonts w:hint="default" w:ascii="Times New Roman" w:hAnsi="Times New Roman" w:cs="Times New Roman"/>
          <w:sz w:val="24"/>
        </w:rPr>
        <w:t>示值误差</w:t>
      </w:r>
      <w:bookmarkEnd w:id="56"/>
    </w:p>
    <w:p w14:paraId="56320A91">
      <w:pPr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通过计算</w:t>
      </w:r>
      <w:r>
        <w:rPr>
          <w:rFonts w:hint="default" w:ascii="Times New Roman" w:hAnsi="Times New Roman" w:cs="Times New Roman"/>
          <w:i w:val="0"/>
          <w:iCs w:val="0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</w:rPr>
        <w:t>次测量的</w:t>
      </w:r>
      <w:r>
        <w:rPr>
          <w:rFonts w:hint="default" w:ascii="Times New Roman" w:hAnsi="Times New Roman" w:cs="Times New Roman"/>
          <w:sz w:val="24"/>
          <w:lang w:val="en-US" w:eastAsia="zh-CN"/>
        </w:rPr>
        <w:t>结合能的</w:t>
      </w:r>
      <w:r>
        <w:rPr>
          <w:rFonts w:hint="default" w:ascii="Times New Roman" w:hAnsi="Times New Roman" w:cs="Times New Roman"/>
          <w:sz w:val="24"/>
        </w:rPr>
        <w:t>平均值与标准值之差得到</w:t>
      </w:r>
      <w:r>
        <w:rPr>
          <w:rFonts w:hint="default" w:ascii="Times New Roman" w:hAnsi="Times New Roman" w:cs="Times New Roman"/>
          <w:sz w:val="24"/>
          <w:lang w:val="en-US" w:eastAsia="zh-CN"/>
        </w:rPr>
        <w:t>结合能</w:t>
      </w:r>
      <w:r>
        <w:rPr>
          <w:rFonts w:hint="default" w:ascii="Times New Roman" w:hAnsi="Times New Roman" w:cs="Times New Roman"/>
          <w:sz w:val="24"/>
        </w:rPr>
        <w:t>示值误差：</w:t>
      </w:r>
    </w:p>
    <w:p w14:paraId="47E23FEE">
      <w:pPr>
        <w:spacing w:line="360" w:lineRule="auto"/>
        <w:jc w:val="right"/>
        <w:rPr>
          <w:rFonts w:hint="default" w:ascii="Times New Roman" w:hAnsi="Times New Roman" w:cs="Times New Roman"/>
          <w:sz w:val="24"/>
        </w:rPr>
      </w:pPr>
      <m:oMath>
        <m:r>
          <m:rPr/>
          <w:rPr>
            <w:rFonts w:hint="default" w:ascii="Cambria Math" w:hAnsi="Cambria Math" w:cs="Times New Roman"/>
            <w:sz w:val="24"/>
            <w:highlight w:val="none"/>
          </w:rPr>
          <m:t>∆</m:t>
        </m:r>
        <m:r>
          <m:rPr/>
          <w:rPr>
            <w:rFonts w:hint="default" w:ascii="Cambria Math" w:hAnsi="Cambria Math" w:cs="Times New Roman"/>
            <w:sz w:val="24"/>
            <w:highlight w:val="none"/>
            <w:lang w:val="en-US" w:eastAsia="zh-CN"/>
          </w:rPr>
          <m:t>x</m:t>
        </m:r>
        <m:r>
          <m:rPr/>
          <w:rPr>
            <w:rFonts w:hint="default" w:ascii="Cambria Math" w:hAnsi="Cambria Math" w:cs="Times New Roman"/>
            <w:sz w:val="24"/>
            <w:highlight w:val="none"/>
          </w:rPr>
          <m:t>=</m:t>
        </m:r>
        <m:acc>
          <m:accPr>
            <m:chr m:val="̅"/>
            <m:ctrlPr>
              <w:rPr>
                <w:rFonts w:hint="default" w:ascii="Cambria Math" w:hAnsi="Cambria Math" w:eastAsia="等线" w:cs="Times New Roman"/>
                <w:i/>
                <w:color w:val="000000"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hint="default" w:ascii="Cambria Math" w:hAnsi="Cambria Math" w:cs="Times New Roman"/>
                <w:sz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eastAsia="等线" w:cs="Times New Roman"/>
                <w:i/>
                <w:color w:val="000000"/>
                <w:kern w:val="24"/>
                <w:sz w:val="24"/>
                <w:highlight w:val="none"/>
              </w:rPr>
            </m:ctrlPr>
          </m:e>
        </m:acc>
        <m:r>
          <m:rPr/>
          <w:rPr>
            <w:rFonts w:hint="default" w:ascii="Cambria Math" w:hAnsi="Cambria Math" w:eastAsia="等线" w:cs="Times New Roman"/>
            <w:color w:val="000000"/>
            <w:kern w:val="24"/>
            <w:sz w:val="24"/>
            <w:highlight w:val="none"/>
          </w:rPr>
          <m:t>−</m:t>
        </m:r>
        <m:sSub>
          <m:sSubPr>
            <m:ctrlPr>
              <w:rPr>
                <w:rFonts w:hint="default" w:ascii="Cambria Math" w:hAnsi="Cambria Math" w:cs="Times New Roman"/>
                <w:i/>
                <w:sz w:val="24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cs="Times New Roman"/>
                <w:i/>
                <w:sz w:val="24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  <w:sz w:val="24"/>
                <w:highlight w:val="none"/>
                <w:lang w:val="en-US" w:eastAsia="zh-CN"/>
              </w:rPr>
              <m:t>r</m:t>
            </m:r>
            <m:ctrlPr>
              <w:rPr>
                <w:rFonts w:hint="default" w:ascii="Cambria Math" w:hAnsi="Cambria Math" w:cs="Times New Roman"/>
                <w:i/>
                <w:sz w:val="24"/>
                <w:highlight w:val="none"/>
                <w:lang w:val="en-US" w:eastAsia="zh-CN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</w:rPr>
        <w:t xml:space="preserve">    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 xml:space="preserve">         （</w:t>
      </w:r>
      <w:r>
        <w:rPr>
          <w:rFonts w:hint="default" w:ascii="Times New Roman" w:hAnsi="Times New Roman" w:cs="Times New Roman"/>
          <w:sz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</w:rPr>
        <w:t>）</w:t>
      </w:r>
    </w:p>
    <w:p w14:paraId="6F8E59A7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式中：</w:t>
      </w:r>
    </w:p>
    <w:p w14:paraId="217369F2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m:oMath>
        <m:r>
          <m:rPr/>
          <w:rPr>
            <w:rFonts w:hint="default" w:ascii="Cambria Math" w:hAnsi="Cambria Math" w:cs="Times New Roman"/>
            <w:sz w:val="24"/>
            <w:szCs w:val="24"/>
            <w:highlight w:val="none"/>
          </w:rPr>
          <m:t>∆</m:t>
        </m:r>
        <m:r>
          <m:rPr/>
          <w:rPr>
            <w:rFonts w:hint="default" w:ascii="Cambria Math" w:hAnsi="Cambria Math" w:cs="Times New Roman"/>
            <w:sz w:val="24"/>
            <w:szCs w:val="24"/>
            <w:highlight w:val="none"/>
            <w:lang w:val="en-US" w:eastAsia="zh-CN"/>
          </w:rPr>
          <m:t>x</m:t>
        </m:r>
      </m:oMath>
      <w:r>
        <w:rPr>
          <w:rFonts w:hint="default" w:ascii="Times New Roman" w:hAnsi="Times New Roman" w:cs="Times New Roman"/>
          <w:sz w:val="24"/>
          <w:szCs w:val="24"/>
        </w:rPr>
        <w:t>——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highlight w:val="none"/>
          <w:u w:val="none"/>
          <w:vertAlign w:val="baseline"/>
          <w:lang w:val="en-US" w:eastAsia="zh-CN" w:bidi="ar"/>
        </w:rPr>
        <w:t>结合能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示值误差，eV；</w:t>
      </w:r>
    </w:p>
    <w:p w14:paraId="1FFA4026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m:oMath>
        <m:acc>
          <m:accPr>
            <m:chr m:val="̅"/>
            <m:ctrlPr>
              <w:rPr>
                <w:rFonts w:hint="default"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 w:cs="Times New Roman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default" w:ascii="Cambria Math" w:hAnsi="Cambria Math" w:cs="Times New Roman"/>
                <w:i/>
                <w:sz w:val="24"/>
                <w:szCs w:val="24"/>
              </w:rPr>
            </m:ctrlPr>
          </m:e>
        </m:acc>
      </m:oMath>
      <w:r>
        <w:rPr>
          <w:rFonts w:hint="default" w:ascii="Times New Roman" w:hAnsi="Times New Roman" w:cs="Times New Roman"/>
          <w:sz w:val="24"/>
          <w:szCs w:val="24"/>
        </w:rPr>
        <w:t>——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结合能的</w:t>
      </w:r>
      <w:r>
        <w:rPr>
          <w:rFonts w:hint="default" w:ascii="Times New Roman" w:hAnsi="Times New Roman" w:cs="Times New Roman"/>
          <w:bCs/>
          <w:sz w:val="24"/>
          <w:szCs w:val="24"/>
        </w:rPr>
        <w:t>测量值的平均值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eV</w:t>
      </w:r>
      <w:r>
        <w:rPr>
          <w:rFonts w:hint="default" w:ascii="Times New Roman" w:hAnsi="Times New Roman" w:cs="Times New Roman"/>
          <w:sz w:val="24"/>
          <w:szCs w:val="24"/>
        </w:rPr>
        <w:t>；</w:t>
      </w:r>
    </w:p>
    <w:p w14:paraId="00A46328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Cambria Math" w:hAnsi="Cambria Math" w:cs="Times New Roman"/>
                <w:i/>
                <w:sz w:val="24"/>
                <w:szCs w:val="24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4"/>
                <w:szCs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cs="Times New Roman"/>
                <w:i/>
                <w:sz w:val="24"/>
                <w:szCs w:val="24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  <w:sz w:val="24"/>
                <w:szCs w:val="24"/>
                <w:highlight w:val="none"/>
                <w:lang w:val="en-US" w:eastAsia="zh-CN"/>
              </w:rPr>
              <m:t>r</m:t>
            </m:r>
            <m:ctrlPr>
              <w:rPr>
                <w:rFonts w:hint="default" w:ascii="Cambria Math" w:hAnsi="Cambria Math" w:cs="Times New Roman"/>
                <w:i/>
                <w:sz w:val="24"/>
                <w:szCs w:val="24"/>
                <w:highlight w:val="none"/>
                <w:lang w:val="en-US" w:eastAsia="zh-CN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</w:rPr>
        <w:t>——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highlight w:val="none"/>
          <w:u w:val="none"/>
          <w:vertAlign w:val="baseline"/>
          <w:lang w:val="en-US" w:eastAsia="zh-CN" w:bidi="ar"/>
        </w:rPr>
        <w:t>结合能标准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值，eV。</w:t>
      </w:r>
    </w:p>
    <w:p w14:paraId="2BCC60B1">
      <w:pPr>
        <w:spacing w:line="360" w:lineRule="auto"/>
        <w:outlineLvl w:val="1"/>
        <w:rPr>
          <w:rFonts w:hint="default" w:ascii="Times New Roman" w:hAnsi="Times New Roman" w:cs="Times New Roman"/>
          <w:sz w:val="24"/>
          <w:szCs w:val="24"/>
        </w:rPr>
      </w:pPr>
      <w:bookmarkStart w:id="57" w:name="_Toc24518"/>
      <w:r>
        <w:rPr>
          <w:rFonts w:hint="default" w:ascii="Times New Roman" w:hAnsi="Times New Roman" w:cs="Times New Roman"/>
          <w:sz w:val="24"/>
        </w:rPr>
        <w:t>7.</w:t>
      </w:r>
      <w:r>
        <w:rPr>
          <w:rFonts w:hint="default" w:ascii="Times New Roman" w:hAnsi="Times New Roman" w:cs="Times New Roman"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</w:rPr>
        <w:t xml:space="preserve">  峰值强度测量重复性</w:t>
      </w:r>
      <w:bookmarkEnd w:id="57"/>
    </w:p>
    <w:p w14:paraId="0158922C">
      <w:pPr>
        <w:ind w:firstLine="480" w:firstLineChars="200"/>
        <w:rPr>
          <w:rFonts w:hint="default" w:ascii="Times New Roman" w:hAnsi="Times New Roman" w:cs="Times New Roman"/>
          <w:sz w:val="24"/>
        </w:rPr>
      </w:pPr>
      <w:bookmarkStart w:id="58" w:name="_Toc10448"/>
      <w:r>
        <w:rPr>
          <w:rFonts w:hint="default" w:ascii="Times New Roman" w:hAnsi="Times New Roman" w:cs="Times New Roman"/>
          <w:sz w:val="24"/>
          <w:lang w:val="en-US" w:eastAsia="zh-CN"/>
        </w:rPr>
        <w:t>从7.2中的C 1s窄谱扣除背底后得到峰值强度，</w:t>
      </w:r>
      <w:r>
        <w:rPr>
          <w:rFonts w:hint="default" w:ascii="Times New Roman" w:hAnsi="Times New Roman" w:cs="Times New Roman"/>
          <w:sz w:val="24"/>
        </w:rPr>
        <w:t>计算5次峰值强度的测量重复性：</w:t>
      </w:r>
      <w:bookmarkEnd w:id="58"/>
    </w:p>
    <w:p w14:paraId="077CC372">
      <w:pPr>
        <w:spacing w:line="360" w:lineRule="auto"/>
        <w:jc w:val="right"/>
        <w:rPr>
          <w:rFonts w:hint="default" w:ascii="Times New Roman" w:hAnsi="Times New Roman" w:cs="Times New Roman"/>
          <w:sz w:val="24"/>
        </w:rPr>
      </w:pPr>
      <m:oMath>
        <m:r>
          <m:rPr/>
          <w:rPr>
            <w:rFonts w:hint="default" w:ascii="Cambria Math" w:hAnsi="Cambria Math" w:cs="Times New Roman"/>
            <w:kern w:val="24"/>
            <w:sz w:val="24"/>
          </w:rPr>
          <m:t>s</m:t>
        </m:r>
        <m:d>
          <m:dPr>
            <m:ctrlPr>
              <w:rPr>
                <w:rFonts w:hint="default" w:ascii="Cambria Math" w:hAnsi="Cambria Math" w:cs="Times New Roman"/>
                <w:i/>
                <w:kern w:val="24"/>
                <w:sz w:val="24"/>
              </w:rPr>
            </m:ctrlPr>
          </m:d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i/>
                <w:kern w:val="24"/>
                <w:sz w:val="24"/>
              </w:rPr>
            </m:ctrlPr>
          </m:e>
        </m:d>
        <m:r>
          <m:rPr/>
          <w:rPr>
            <w:rFonts w:hint="default" w:ascii="Cambria Math" w:hAnsi="Cambria Math" w:cs="Times New Roman"/>
            <w:sz w:val="24"/>
          </w:rPr>
          <m:t>=</m:t>
        </m:r>
        <m:f>
          <m:fP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fPr>
          <m:num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1</m:t>
            </m: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num>
          <m:den>
            <m:acc>
              <m:accPr>
                <m:chr m:val="̅"/>
                <m:ctrlPr>
                  <w:rPr>
                    <w:rFonts w:hint="default" w:ascii="Cambria Math" w:hAnsi="Cambria Math" w:cs="Times New Roman"/>
                    <w:i/>
                    <w:sz w:val="24"/>
                  </w:rPr>
                </m:ctrlPr>
              </m:accPr>
              <m:e>
                <m:r>
                  <m:rPr/>
                  <w:rPr>
                    <w:rFonts w:hint="default" w:ascii="Cambria Math" w:hAnsi="Cambria Math" w:cs="Times New Roman"/>
                    <w:sz w:val="24"/>
                    <w:lang w:val="en-US" w:eastAsia="zh-CN"/>
                  </w:rPr>
                  <m:t>I</m:t>
                </m:r>
                <m:ctrlPr>
                  <w:rPr>
                    <w:rFonts w:hint="default" w:ascii="Cambria Math" w:hAnsi="Cambria Math" w:cs="Times New Roman"/>
                    <w:i/>
                    <w:sz w:val="24"/>
                  </w:rPr>
                </m:ctrlPr>
              </m:e>
            </m:acc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den>
        </m:f>
        <m:rad>
          <m:radPr>
            <m:degHide m:val="1"/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radPr>
          <m:deg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deg>
          <m:e>
            <m:f>
              <m:fPr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hint="default" w:ascii="Cambria Math" w:hAnsi="Cambria Math" w:eastAsia="等线" w:cs="Times New Roman"/>
                        <w:color w:val="000000"/>
                        <w:kern w:val="24"/>
                        <w:sz w:val="24"/>
                      </w:rPr>
                      <m:t>i=1</m:t>
                    </m:r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hint="default" w:ascii="Cambria Math" w:hAnsi="Cambria Math" w:eastAsia="等线" w:cs="Times New Roman"/>
                        <w:color w:val="000000"/>
                        <w:kern w:val="24"/>
                        <w:sz w:val="24"/>
                      </w:rPr>
                      <m:t>n</m:t>
                    </m:r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hint="default" w:ascii="Cambria Math" w:hAnsi="Cambria Math" w:eastAsia="等线" w:cs="Times New Roman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lang w:val="en-US" w:eastAsia="zh-CN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vertAlign w:val="subscript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hint="default" w:ascii="Cambria Math" w:hAnsi="Cambria Math" w:eastAsia="等线" w:cs="Times New Roman"/>
                                <w:color w:val="000000"/>
                                <w:kern w:val="24"/>
                                <w:sz w:val="24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hint="default" w:ascii="Cambria Math" w:hAnsi="Cambria Math" w:cs="Times New Roman"/>
                                    <w:sz w:val="24"/>
                                    <w:lang w:val="en-US" w:eastAsia="zh-CN"/>
                                  </w:rPr>
                                  <m:t>I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i/>
                                    <w:sz w:val="24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hint="default" w:ascii="Cambria Math" w:hAnsi="Cambria Math" w:eastAsia="等线" w:cs="Times New Roman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e>
                        </m:d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e>
                      <m:sup>
                        <m:r>
                          <m:rPr/>
                          <w:rPr>
                            <w:rFonts w:hint="default" w:ascii="Cambria Math" w:hAnsi="Cambria Math" w:eastAsia="等线" w:cs="Times New Roman"/>
                            <w:color w:val="000000"/>
                            <w:kern w:val="24"/>
                            <w:sz w:val="24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eastAsia="等线" w:cs="Times New Roman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up>
                    </m:sSup>
                    <m:ctrlPr>
                      <w:rPr>
                        <w:rFonts w:hint="default" w:ascii="Cambria Math" w:hAnsi="Cambria Math" w:eastAsia="等线" w:cs="Times New Roman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e>
                </m:nary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num>
              <m:den>
                <m:r>
                  <m:rPr/>
                  <w:rPr>
                    <w:rFonts w:hint="default" w:ascii="Cambria Math" w:hAnsi="Cambria Math" w:eastAsia="等线" w:cs="Times New Roman"/>
                    <w:color w:val="000000"/>
                    <w:kern w:val="24"/>
                    <w:sz w:val="24"/>
                  </w:rPr>
                  <m:t>n−1</m:t>
                </m:r>
                <m:ctrlPr>
                  <w:rPr>
                    <w:rFonts w:hint="default" w:ascii="Cambria Math" w:hAnsi="Cambria Math" w:eastAsia="等线" w:cs="Times New Roman"/>
                    <w:i/>
                    <w:iCs/>
                    <w:color w:val="000000"/>
                    <w:kern w:val="24"/>
                    <w:sz w:val="24"/>
                  </w:rPr>
                </m:ctrlPr>
              </m:den>
            </m:f>
            <m:ctrlPr>
              <w:rPr>
                <w:rFonts w:hint="default" w:ascii="Cambria Math" w:hAnsi="Cambria Math" w:eastAsia="等线" w:cs="Times New Roman"/>
                <w:i/>
                <w:iCs/>
                <w:color w:val="000000"/>
                <w:kern w:val="24"/>
                <w:sz w:val="24"/>
              </w:rPr>
            </m:ctrlPr>
          </m:e>
        </m:rad>
      </m:oMath>
      <w:r>
        <w:rPr>
          <w:rFonts w:hint="default" w:ascii="Times New Roman" w:hAnsi="Times New Roman" w:cs="Times New Roman"/>
          <w:sz w:val="24"/>
        </w:rPr>
        <w:t xml:space="preserve">                       （</w:t>
      </w:r>
      <w:r>
        <w:rPr>
          <w:rFonts w:hint="default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）</w:t>
      </w:r>
    </w:p>
    <w:p w14:paraId="2089C14E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式中：</w:t>
      </w:r>
    </w:p>
    <w:p w14:paraId="1D5166F9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m:oMath>
        <m:r>
          <m:rPr/>
          <w:rPr>
            <w:rFonts w:hint="default" w:ascii="Cambria Math" w:hAnsi="Cambria Math" w:cs="Times New Roman"/>
            <w:kern w:val="24"/>
            <w:sz w:val="24"/>
          </w:rPr>
          <m:t>s</m:t>
        </m:r>
        <m:d>
          <m:dPr>
            <m:ctrlPr>
              <w:rPr>
                <w:rFonts w:hint="default" w:ascii="Cambria Math" w:hAnsi="Cambria Math" w:cs="Times New Roman"/>
                <w:i/>
                <w:kern w:val="24"/>
                <w:sz w:val="24"/>
              </w:rPr>
            </m:ctrlPr>
          </m:d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i/>
                <w:kern w:val="24"/>
                <w:sz w:val="24"/>
              </w:rPr>
            </m:ctrlPr>
          </m:e>
        </m:d>
      </m:oMath>
      <w:r>
        <w:rPr>
          <w:rFonts w:hint="default" w:ascii="Times New Roman" w:hAnsi="Times New Roman" w:cs="Times New Roman"/>
          <w:iCs/>
          <w:sz w:val="24"/>
        </w:rPr>
        <w:t>——</w:t>
      </w:r>
      <w:r>
        <w:rPr>
          <w:rFonts w:hint="default" w:ascii="Times New Roman" w:hAnsi="Times New Roman" w:cs="Times New Roman"/>
          <w:sz w:val="24"/>
        </w:rPr>
        <w:t>峰值强度的测量重复性</w:t>
      </w:r>
      <w:r>
        <w:rPr>
          <w:rFonts w:hint="default" w:ascii="Times New Roman" w:hAnsi="Times New Roman" w:cs="Times New Roman"/>
          <w:sz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default" w:ascii="Times New Roman" w:hAnsi="Times New Roman" w:cs="Times New Roman"/>
          <w:sz w:val="24"/>
        </w:rPr>
        <w:t>；</w:t>
      </w:r>
    </w:p>
    <w:p w14:paraId="5FEA731B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i/>
          <w:iCs w:val="0"/>
          <w:sz w:val="24"/>
          <w:lang w:val="en-US" w:eastAsia="zh-CN"/>
        </w:rPr>
        <w:t>I</w:t>
      </w:r>
      <w:r>
        <w:rPr>
          <w:rFonts w:hint="default" w:ascii="Times New Roman" w:hAnsi="Times New Roman" w:cs="Times New Roman"/>
          <w:i/>
          <w:iCs w:val="0"/>
          <w:sz w:val="24"/>
          <w:vertAlign w:val="subscript"/>
          <w:lang w:val="en-US" w:eastAsia="zh-CN"/>
        </w:rPr>
        <w:t>i</w:t>
      </w:r>
      <w:r>
        <w:rPr>
          <w:rFonts w:hint="default" w:ascii="Times New Roman" w:hAnsi="Times New Roman" w:cs="Times New Roman"/>
          <w:iCs/>
          <w:sz w:val="24"/>
        </w:rPr>
        <w:t>——第</w:t>
      </w:r>
      <w:r>
        <w:rPr>
          <w:rFonts w:hint="default" w:ascii="Times New Roman" w:hAnsi="Times New Roman" w:cs="Times New Roman"/>
          <w:i/>
          <w:sz w:val="24"/>
        </w:rPr>
        <w:t>i</w:t>
      </w:r>
      <w:r>
        <w:rPr>
          <w:rFonts w:hint="default" w:ascii="Times New Roman" w:hAnsi="Times New Roman" w:cs="Times New Roman"/>
          <w:iCs/>
          <w:sz w:val="24"/>
        </w:rPr>
        <w:t>次</w:t>
      </w:r>
      <w:r>
        <w:rPr>
          <w:rFonts w:hint="default" w:ascii="Times New Roman" w:hAnsi="Times New Roman" w:cs="Times New Roman"/>
          <w:sz w:val="24"/>
        </w:rPr>
        <w:t>测量的峰值强度</w:t>
      </w:r>
      <w:r>
        <w:rPr>
          <w:rFonts w:hint="default" w:ascii="Times New Roman" w:hAnsi="Times New Roman" w:cs="Times New Roman"/>
          <w:iCs/>
          <w:sz w:val="24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counts/s(CPS)</w:t>
      </w:r>
      <w:r>
        <w:rPr>
          <w:rFonts w:hint="default" w:ascii="Times New Roman" w:hAnsi="Times New Roman" w:cs="Times New Roman"/>
          <w:iCs/>
          <w:sz w:val="24"/>
        </w:rPr>
        <w:t>；</w:t>
      </w:r>
    </w:p>
    <w:p w14:paraId="7A44268B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m:oMath>
        <m:acc>
          <m:accPr>
            <m:chr m:val="̅"/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accPr>
          <m:e>
            <m:r>
              <m:rPr/>
              <w:rPr>
                <w:rFonts w:hint="default" w:ascii="Cambria Math" w:hAnsi="Cambria Math" w:cs="Times New Roman"/>
                <w:sz w:val="24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i/>
                <w:sz w:val="24"/>
              </w:rPr>
            </m:ctrlPr>
          </m:e>
        </m:acc>
      </m:oMath>
      <w:r>
        <w:rPr>
          <w:rFonts w:hint="default" w:ascii="Times New Roman" w:hAnsi="Times New Roman" w:cs="Times New Roman"/>
          <w:iCs/>
          <w:sz w:val="24"/>
        </w:rPr>
        <w:t>——</w:t>
      </w:r>
      <w:r>
        <w:rPr>
          <w:rFonts w:hint="default" w:ascii="Times New Roman" w:hAnsi="Times New Roman" w:cs="Times New Roman"/>
          <w:sz w:val="24"/>
        </w:rPr>
        <w:t>峰值强度的</w:t>
      </w:r>
      <w:r>
        <w:rPr>
          <w:rFonts w:hint="default" w:ascii="Times New Roman" w:hAnsi="Times New Roman" w:cs="Times New Roman"/>
          <w:sz w:val="24"/>
          <w:lang w:val="en-US" w:eastAsia="zh-CN"/>
        </w:rPr>
        <w:t>测量</w:t>
      </w:r>
      <w:r>
        <w:rPr>
          <w:rFonts w:hint="default" w:ascii="Times New Roman" w:hAnsi="Times New Roman" w:cs="Times New Roman"/>
          <w:sz w:val="24"/>
        </w:rPr>
        <w:t>平均值</w:t>
      </w:r>
      <w:r>
        <w:rPr>
          <w:rFonts w:hint="default" w:ascii="Times New Roman" w:hAnsi="Times New Roman" w:cs="Times New Roman"/>
          <w:iCs/>
          <w:sz w:val="24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counts/s(CPS)</w:t>
      </w:r>
      <w:r>
        <w:rPr>
          <w:rFonts w:hint="default" w:ascii="Times New Roman" w:hAnsi="Times New Roman" w:cs="Times New Roman"/>
          <w:sz w:val="24"/>
        </w:rPr>
        <w:t>；</w:t>
      </w:r>
    </w:p>
    <w:p w14:paraId="5BFA80F4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</w:rPr>
        <w:t>n</w:t>
      </w:r>
      <w:r>
        <w:rPr>
          <w:rFonts w:hint="default" w:ascii="Times New Roman" w:hAnsi="Times New Roman" w:cs="Times New Roman"/>
          <w:sz w:val="24"/>
        </w:rPr>
        <w:t>——测量次数。</w:t>
      </w:r>
    </w:p>
    <w:p w14:paraId="3932C942">
      <w:pPr>
        <w:pStyle w:val="2"/>
        <w:spacing w:before="156" w:beforeLines="50" w:after="156" w:afterLines="50"/>
        <w:ind w:firstLine="0" w:firstLineChars="0"/>
        <w:rPr>
          <w:rFonts w:eastAsia="黑体"/>
          <w:sz w:val="24"/>
          <w:szCs w:val="24"/>
        </w:rPr>
      </w:pPr>
      <w:bookmarkStart w:id="59" w:name="_Toc18687"/>
      <w:r>
        <w:rPr>
          <w:rFonts w:hint="eastAsia" w:eastAsia="黑体"/>
          <w:sz w:val="24"/>
          <w:szCs w:val="24"/>
        </w:rPr>
        <w:t>8  校准结果表达</w:t>
      </w:r>
      <w:bookmarkEnd w:id="59"/>
    </w:p>
    <w:p w14:paraId="132995DE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校准结果应在校准证书上反映，校准证书应至少包括以下信息：</w:t>
      </w:r>
    </w:p>
    <w:p w14:paraId="5F7789A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a）标题，如“校准证书”；</w:t>
      </w:r>
    </w:p>
    <w:p w14:paraId="6697E8D9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b）实验室名称和地址；</w:t>
      </w:r>
    </w:p>
    <w:p w14:paraId="3526C3E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c）进行校准的地点（如果与实验室的地址不同）；</w:t>
      </w:r>
    </w:p>
    <w:p w14:paraId="51DBA29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d）证书或报告的唯一性标识（如编号），每页及总页数的标识；</w:t>
      </w:r>
    </w:p>
    <w:p w14:paraId="4F419A40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e）客户的名称和地址；</w:t>
      </w:r>
    </w:p>
    <w:p w14:paraId="7434A983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f）被校对象的描述和明确标识；</w:t>
      </w:r>
    </w:p>
    <w:p w14:paraId="2473B51E">
      <w:pPr>
        <w:spacing w:line="360" w:lineRule="auto"/>
        <w:ind w:left="719" w:leftChars="228" w:hanging="240" w:hanging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g）进行校准的日期，如果与校准结果的有效性和应用有关时，应说明被校对象的接收日期；</w:t>
      </w:r>
    </w:p>
    <w:p w14:paraId="167AFAB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h）如果与校准结果的有效性和应用有关时，应对被校样品的抽样程序进行说明； </w:t>
      </w:r>
    </w:p>
    <w:p w14:paraId="78E62C2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i）校准所依据的技术规范的标识，包括名称及代号；</w:t>
      </w:r>
    </w:p>
    <w:p w14:paraId="628E206B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j）本次校准所用测量标准的溯源性及有效性说明；</w:t>
      </w:r>
    </w:p>
    <w:p w14:paraId="37B6AC29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k）校准环境的描述；</w:t>
      </w:r>
    </w:p>
    <w:p w14:paraId="672EC23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l）校准结果及其测量不确定度的说明；</w:t>
      </w:r>
    </w:p>
    <w:p w14:paraId="7A2E46D1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m）</w:t>
      </w:r>
      <w:r>
        <w:rPr>
          <w:rFonts w:hint="eastAsia" w:ascii="宋体" w:hAnsi="宋体" w:cs="宋体"/>
          <w:sz w:val="24"/>
        </w:rPr>
        <w:t>对校准规范偏离的说明（若有）；</w:t>
      </w:r>
    </w:p>
    <w:p w14:paraId="5EB78A50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n）校准证书或校准报告签发人的签名、职务或等效标识、以及签发日期；</w:t>
      </w:r>
    </w:p>
    <w:p w14:paraId="442C4B62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o）校准结果仅对被校对象有效的声明；</w:t>
      </w:r>
    </w:p>
    <w:p w14:paraId="56FD45C0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p）未经实验室书面批准，不得部分复制证书的声明。</w:t>
      </w:r>
    </w:p>
    <w:p w14:paraId="0AAD6781">
      <w:pPr>
        <w:pStyle w:val="2"/>
        <w:spacing w:before="156" w:beforeLines="50" w:after="156" w:afterLines="50"/>
        <w:ind w:firstLine="0" w:firstLineChars="0"/>
        <w:rPr>
          <w:rFonts w:eastAsia="黑体"/>
          <w:sz w:val="24"/>
          <w:szCs w:val="24"/>
        </w:rPr>
      </w:pPr>
      <w:bookmarkStart w:id="60" w:name="_Toc31862"/>
      <w:r>
        <w:rPr>
          <w:rFonts w:hint="eastAsia" w:eastAsia="黑体"/>
          <w:sz w:val="24"/>
          <w:szCs w:val="24"/>
        </w:rPr>
        <w:t xml:space="preserve">9  </w:t>
      </w:r>
      <w:r>
        <w:rPr>
          <w:rFonts w:hint="eastAsia" w:eastAsia="黑体"/>
          <w:sz w:val="24"/>
          <w:szCs w:val="24"/>
          <w:lang w:val="en-US" w:eastAsia="zh-CN"/>
        </w:rPr>
        <w:t>复校</w:t>
      </w:r>
      <w:r>
        <w:rPr>
          <w:rFonts w:hint="eastAsia" w:eastAsia="黑体"/>
          <w:sz w:val="24"/>
          <w:szCs w:val="24"/>
        </w:rPr>
        <w:t>时间间隔</w:t>
      </w:r>
      <w:bookmarkEnd w:id="60"/>
    </w:p>
    <w:p w14:paraId="69583FF5">
      <w:pPr>
        <w:tabs>
          <w:tab w:val="right" w:leader="middleDot" w:pos="9360"/>
          <w:tab w:val="right" w:leader="middleDot" w:pos="9450"/>
          <w:tab w:val="right" w:leader="dot" w:pos="11340"/>
          <w:tab w:val="right" w:leader="middleDot" w:pos="14742"/>
        </w:tabs>
        <w:spacing w:line="360" w:lineRule="auto"/>
        <w:ind w:firstLine="480" w:firstLineChars="200"/>
        <w:rPr>
          <w:rFonts w:ascii="Arial" w:hAnsi="Arial" w:cs="Arial"/>
        </w:rPr>
      </w:pPr>
      <w:r>
        <w:rPr>
          <w:rFonts w:hint="eastAsia" w:hAnsi="宋体"/>
          <w:sz w:val="24"/>
        </w:rPr>
        <w:t>复</w:t>
      </w:r>
      <w:r>
        <w:rPr>
          <w:rFonts w:hint="eastAsia" w:hAnsi="宋体"/>
          <w:sz w:val="24"/>
          <w:lang w:val="en-US" w:eastAsia="zh-CN"/>
        </w:rPr>
        <w:t>校</w:t>
      </w:r>
      <w:r>
        <w:rPr>
          <w:rFonts w:hint="eastAsia" w:hAnsi="宋体"/>
          <w:sz w:val="24"/>
        </w:rPr>
        <w:t>时间间隔由被测对象使用情况、本身质量及使用者等因素决定，因此送校单位可根据实际使用情况自主决定复校时间间隔。</w:t>
      </w:r>
    </w:p>
    <w:p w14:paraId="08CB9A9A">
      <w:pPr>
        <w:rPr>
          <w:rFonts w:ascii="Arial" w:hAnsi="Arial" w:cs="Arial"/>
        </w:rPr>
      </w:pPr>
    </w:p>
    <w:p w14:paraId="660B5441">
      <w:pPr>
        <w:rPr>
          <w:rFonts w:ascii="Arial" w:hAnsi="Arial" w:cs="Arial"/>
        </w:rPr>
      </w:pPr>
    </w:p>
    <w:p w14:paraId="5AE3AD20">
      <w:pPr>
        <w:rPr>
          <w:rFonts w:ascii="Arial" w:hAnsi="Arial" w:cs="Arial"/>
        </w:rPr>
      </w:pPr>
    </w:p>
    <w:p w14:paraId="34CBE75C">
      <w:pPr>
        <w:rPr>
          <w:rFonts w:ascii="Arial" w:hAnsi="Arial" w:cs="Arial"/>
        </w:rPr>
      </w:pPr>
    </w:p>
    <w:p w14:paraId="29999F40">
      <w:pPr>
        <w:rPr>
          <w:rFonts w:ascii="Arial" w:hAnsi="Arial" w:cs="Arial"/>
        </w:rPr>
      </w:pPr>
    </w:p>
    <w:p w14:paraId="4376DE57">
      <w:pPr>
        <w:spacing w:line="500" w:lineRule="exact"/>
        <w:outlineLvl w:val="0"/>
        <w:rPr>
          <w:rFonts w:eastAsia="黑体"/>
          <w:bCs/>
          <w:sz w:val="28"/>
          <w:szCs w:val="28"/>
        </w:rPr>
        <w:sectPr>
          <w:pgSz w:w="11906" w:h="16838"/>
          <w:pgMar w:top="1264" w:right="1418" w:bottom="1418" w:left="1418" w:header="851" w:footer="992" w:gutter="0"/>
          <w:pgNumType w:start="1"/>
          <w:cols w:space="720" w:num="1"/>
          <w:docGrid w:type="lines" w:linePitch="312" w:charSpace="0"/>
        </w:sectPr>
      </w:pPr>
    </w:p>
    <w:p w14:paraId="71FE5E34">
      <w:pPr>
        <w:spacing w:before="156" w:beforeLines="50" w:after="156" w:afterLines="50" w:line="360" w:lineRule="auto"/>
        <w:outlineLvl w:val="0"/>
        <w:rPr>
          <w:rFonts w:hint="eastAsia" w:eastAsia="黑体"/>
          <w:bCs/>
          <w:sz w:val="28"/>
          <w:szCs w:val="28"/>
          <w:lang w:eastAsia="zh-CN"/>
        </w:rPr>
      </w:pPr>
      <w:bookmarkStart w:id="61" w:name="_Toc14684"/>
      <w:r>
        <w:rPr>
          <w:rFonts w:eastAsia="黑体"/>
          <w:bCs/>
          <w:sz w:val="28"/>
          <w:szCs w:val="28"/>
        </w:rPr>
        <w:t>附录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A</w:t>
      </w:r>
      <w:bookmarkEnd w:id="61"/>
    </w:p>
    <w:p w14:paraId="64B3CD4D">
      <w:pPr>
        <w:jc w:val="center"/>
        <w:outlineLvl w:val="0"/>
        <w:rPr>
          <w:rFonts w:ascii="黑体" w:hAnsi="黑体" w:eastAsia="黑体" w:cs="黑体"/>
          <w:b/>
          <w:bCs/>
          <w:sz w:val="28"/>
          <w:szCs w:val="28"/>
        </w:rPr>
      </w:pPr>
      <w:bookmarkStart w:id="62" w:name="_Toc21204"/>
      <w:bookmarkStart w:id="63" w:name="_Toc27298"/>
      <w:bookmarkStart w:id="64" w:name="_Toc20153"/>
      <w:r>
        <w:rPr>
          <w:rFonts w:hint="eastAsia" w:ascii="黑体" w:hAnsi="黑体" w:eastAsia="黑体" w:cs="黑体"/>
          <w:sz w:val="28"/>
          <w:szCs w:val="28"/>
        </w:rPr>
        <w:t>X射线光电子能谱仪校准结果的不确定度评定示例</w:t>
      </w:r>
      <w:bookmarkEnd w:id="62"/>
      <w:bookmarkEnd w:id="63"/>
      <w:bookmarkEnd w:id="64"/>
    </w:p>
    <w:p w14:paraId="71132B6A">
      <w:pPr>
        <w:tabs>
          <w:tab w:val="left" w:pos="5812"/>
        </w:tabs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B.1 结合能示值误差</w:t>
      </w:r>
      <w:r>
        <w:rPr>
          <w:rFonts w:hint="eastAsia" w:ascii="宋体" w:hAnsi="宋体" w:cs="宋体"/>
          <w:sz w:val="24"/>
          <w:lang w:eastAsia="zh-CN"/>
        </w:rPr>
        <w:t>的</w:t>
      </w:r>
      <w:r>
        <w:rPr>
          <w:rFonts w:hint="eastAsia" w:ascii="宋体" w:hAnsi="宋体" w:cs="宋体"/>
          <w:sz w:val="24"/>
        </w:rPr>
        <w:t>不确定度评定</w:t>
      </w:r>
    </w:p>
    <w:p w14:paraId="66C57B11">
      <w:pPr>
        <w:pStyle w:val="8"/>
        <w:spacing w:line="360" w:lineRule="auto"/>
        <w:ind w:left="0" w:leftChars="0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</w:rPr>
        <w:t>B.1.1</w:t>
      </w:r>
      <w:r>
        <w:rPr>
          <w:rFonts w:hint="eastAsia" w:ascii="宋体" w:hAnsi="宋体" w:cs="宋体"/>
          <w:bCs/>
        </w:rPr>
        <w:t xml:space="preserve"> 测量模型</w:t>
      </w:r>
    </w:p>
    <w:p w14:paraId="77EA001B"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通过计算</w:t>
      </w:r>
      <w:r>
        <w:rPr>
          <w:rFonts w:hint="eastAsia"/>
          <w:i w:val="0"/>
          <w:iCs w:val="0"/>
          <w:sz w:val="24"/>
          <w:lang w:val="en-US" w:eastAsia="zh-CN"/>
        </w:rPr>
        <w:t>5</w:t>
      </w:r>
      <w:r>
        <w:rPr>
          <w:rFonts w:hint="eastAsia"/>
          <w:sz w:val="24"/>
        </w:rPr>
        <w:t>次测量的</w:t>
      </w:r>
      <w:r>
        <w:rPr>
          <w:rFonts w:hint="eastAsia"/>
          <w:sz w:val="24"/>
          <w:lang w:val="en-US" w:eastAsia="zh-CN"/>
        </w:rPr>
        <w:t>结合能的</w:t>
      </w:r>
      <w:r>
        <w:rPr>
          <w:rFonts w:hint="eastAsia"/>
          <w:sz w:val="24"/>
        </w:rPr>
        <w:t>平均值与标准值之差得到</w:t>
      </w:r>
      <w:r>
        <w:rPr>
          <w:rFonts w:hint="eastAsia"/>
          <w:sz w:val="24"/>
          <w:lang w:val="en-US" w:eastAsia="zh-CN"/>
        </w:rPr>
        <w:t>结合能</w:t>
      </w:r>
      <w:r>
        <w:rPr>
          <w:rFonts w:hint="eastAsia"/>
          <w:sz w:val="24"/>
        </w:rPr>
        <w:t>示值误差：</w:t>
      </w:r>
    </w:p>
    <w:p w14:paraId="2064CCE2">
      <w:pPr>
        <w:spacing w:line="360" w:lineRule="auto"/>
        <w:jc w:val="right"/>
        <w:rPr>
          <w:rFonts w:hint="eastAsia" w:ascii="宋体" w:hAnsi="宋体" w:cs="宋体"/>
          <w:sz w:val="24"/>
        </w:rPr>
      </w:pPr>
      <m:oMath>
        <m:r>
          <m:rPr/>
          <w:rPr>
            <w:rFonts w:ascii="Cambria Math" w:hAnsi="Cambria Math" w:cs="微软雅黑"/>
            <w:sz w:val="24"/>
            <w:highlight w:val="none"/>
          </w:rPr>
          <m:t>∆</m:t>
        </m:r>
        <m:r>
          <m:rPr/>
          <w:rPr>
            <w:rFonts w:hint="default" w:ascii="Cambria Math" w:hAnsi="Cambria Math" w:cs="微软雅黑"/>
            <w:sz w:val="24"/>
            <w:highlight w:val="none"/>
            <w:lang w:val="en-US" w:eastAsia="zh-CN"/>
          </w:rPr>
          <m:t>x</m:t>
        </m:r>
        <m:r>
          <m:rPr/>
          <w:rPr>
            <w:rFonts w:ascii="Cambria Math" w:hAnsi="Cambria Math"/>
            <w:sz w:val="24"/>
            <w:highlight w:val="none"/>
          </w:rPr>
          <m:t>=</m:t>
        </m:r>
        <m:acc>
          <m:accPr>
            <m:chr m:val="̅"/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x</m:t>
            </m:r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e>
        </m:acc>
        <m:r>
          <m:rPr/>
          <w:rPr>
            <w:rFonts w:ascii="Cambria Math" w:hAnsi="Cambria Math" w:eastAsia="等线"/>
            <w:color w:val="000000"/>
            <w:kern w:val="24"/>
            <w:sz w:val="24"/>
            <w:highlight w:val="none"/>
          </w:rPr>
          <m:t>−</m:t>
        </m:r>
        <m:sSub>
          <m:sSubP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r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sub>
        </m:sSub>
      </m:oMath>
      <w:r>
        <w:rPr>
          <w:rFonts w:hint="eastAsia" w:hAnsi="Cambria Math"/>
          <w:sz w:val="24"/>
          <w:highlight w:val="none"/>
        </w:rPr>
        <w:t xml:space="preserve"> </w:t>
      </w:r>
      <w:r>
        <w:rPr>
          <w:rFonts w:hint="eastAsia" w:hAnsi="Cambria Math"/>
          <w:sz w:val="24"/>
        </w:rPr>
        <w:t xml:space="preserve">           </w:t>
      </w:r>
      <w:r>
        <w:rPr>
          <w:rFonts w:hint="eastAsia" w:hAnsi="Cambria Math"/>
          <w:sz w:val="24"/>
          <w:lang w:val="en-US" w:eastAsia="zh-CN"/>
        </w:rPr>
        <w:t xml:space="preserve">  </w:t>
      </w:r>
      <w:r>
        <w:rPr>
          <w:rFonts w:hint="eastAsia" w:hAnsi="Cambria Math"/>
          <w:sz w:val="24"/>
        </w:rPr>
        <w:t xml:space="preserve">         </w:t>
      </w: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eastAsia" w:cs="Times New Roman"/>
          <w:sz w:val="24"/>
          <w:lang w:val="en-US" w:eastAsia="zh-CN"/>
        </w:rPr>
        <w:t>A.1</w:t>
      </w:r>
      <w:r>
        <w:rPr>
          <w:rFonts w:hint="default" w:ascii="Times New Roman" w:hAnsi="Times New Roman" w:cs="Times New Roman"/>
          <w:sz w:val="24"/>
        </w:rPr>
        <w:t>）</w:t>
      </w:r>
    </w:p>
    <w:p w14:paraId="132D80A7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highlight w:val="none"/>
          <w:lang w:val="en-US" w:eastAsia="zh-CN"/>
        </w:rPr>
        <w:t>式中：</w:t>
      </w:r>
    </w:p>
    <w:p w14:paraId="6EE304FE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</w:pPr>
      <m:oMath>
        <m:r>
          <m:rPr/>
          <w:rPr>
            <w:rFonts w:ascii="Cambria Math" w:hAnsi="Cambria Math" w:cs="微软雅黑"/>
            <w:sz w:val="24"/>
            <w:szCs w:val="24"/>
            <w:highlight w:val="none"/>
          </w:rPr>
          <m:t>∆</m:t>
        </m:r>
        <m:r>
          <m:rPr/>
          <w:rPr>
            <w:rFonts w:hint="default" w:ascii="Cambria Math" w:hAnsi="Cambria Math" w:cs="微软雅黑"/>
            <w:sz w:val="24"/>
            <w:szCs w:val="24"/>
            <w:highlight w:val="none"/>
            <w:lang w:val="en-US" w:eastAsia="zh-CN"/>
          </w:rPr>
          <m:t>x</m:t>
        </m:r>
      </m:oMath>
      <w:r>
        <w:rPr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highlight w:val="none"/>
          <w:u w:val="none"/>
          <w:vertAlign w:val="baseline"/>
          <w:lang w:val="en-US" w:eastAsia="zh-CN" w:bidi="ar"/>
        </w:rPr>
        <w:t>结合能</w:t>
      </w: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示值误差，eV；</w:t>
      </w:r>
    </w:p>
    <w:p w14:paraId="036229BB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hAnsi="Cambria Math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</m:oMath>
      <w:r>
        <w:rPr>
          <w:sz w:val="24"/>
          <w:szCs w:val="24"/>
        </w:rPr>
        <w:t>——</w:t>
      </w:r>
      <w:r>
        <w:rPr>
          <w:rFonts w:hint="eastAsia"/>
          <w:bCs/>
          <w:sz w:val="24"/>
          <w:szCs w:val="24"/>
          <w:lang w:val="en-US" w:eastAsia="zh-CN"/>
        </w:rPr>
        <w:t>结合能的</w:t>
      </w:r>
      <w:r>
        <w:rPr>
          <w:bCs/>
          <w:sz w:val="24"/>
          <w:szCs w:val="24"/>
        </w:rPr>
        <w:t>测量值的平均值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eV</w:t>
      </w:r>
      <w:r>
        <w:rPr>
          <w:rFonts w:hint="eastAsia" w:hAnsi="Cambria Math"/>
          <w:sz w:val="24"/>
          <w:szCs w:val="24"/>
        </w:rPr>
        <w:t>；</w:t>
      </w:r>
    </w:p>
    <w:p w14:paraId="1FDC712F">
      <w:pPr>
        <w:autoSpaceDE w:val="0"/>
        <w:autoSpaceDN w:val="0"/>
        <w:spacing w:after="0" w:line="360" w:lineRule="auto"/>
        <w:ind w:firstLine="480" w:firstLineChars="200"/>
        <w:jc w:val="both"/>
        <w:rPr>
          <w:sz w:val="24"/>
        </w:rPr>
      </w:pPr>
      <m:oMath>
        <m:sSub>
          <m:sSubP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微软雅黑"/>
                <w:sz w:val="24"/>
                <w:szCs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微软雅黑"/>
                <w:sz w:val="24"/>
                <w:szCs w:val="24"/>
                <w:highlight w:val="none"/>
                <w:lang w:val="en-US" w:eastAsia="zh-CN"/>
              </w:rPr>
              <m:t>r</m:t>
            </m: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sub>
        </m:sSub>
      </m:oMath>
      <w:r>
        <w:rPr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highlight w:val="none"/>
          <w:u w:val="none"/>
          <w:vertAlign w:val="baseline"/>
          <w:lang w:val="en-US" w:eastAsia="zh-CN" w:bidi="ar"/>
        </w:rPr>
        <w:t>结合能标准</w:t>
      </w: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值，eV。</w:t>
      </w:r>
    </w:p>
    <w:p w14:paraId="43282F6B">
      <w:pPr>
        <w:pStyle w:val="8"/>
        <w:spacing w:line="360" w:lineRule="auto"/>
        <w:ind w:left="0" w:leftChars="0"/>
        <w:rPr>
          <w:rFonts w:ascii="宋体" w:hAnsi="宋体" w:cs="宋体"/>
          <w:bCs/>
        </w:rPr>
      </w:pPr>
      <w:r>
        <w:rPr>
          <w:rFonts w:hint="eastAsia" w:ascii="宋体" w:hAnsi="宋体" w:cs="宋体"/>
        </w:rPr>
        <w:t xml:space="preserve">B.1.2 </w:t>
      </w:r>
      <w:r>
        <w:rPr>
          <w:rFonts w:hint="eastAsia" w:ascii="宋体" w:hAnsi="宋体" w:cs="宋体"/>
          <w:bCs/>
        </w:rPr>
        <w:t>测量不确定度来源</w:t>
      </w:r>
    </w:p>
    <w:p w14:paraId="19C5231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根据上述</w:t>
      </w:r>
      <w:r>
        <w:rPr>
          <w:rFonts w:hint="eastAsia"/>
          <w:sz w:val="24"/>
        </w:rPr>
        <w:t>测量模型</w:t>
      </w:r>
      <w:r>
        <w:rPr>
          <w:sz w:val="24"/>
        </w:rPr>
        <w:t>以及具体的测量过程，测量不确定度来源主要包括以下几个方面：</w:t>
      </w:r>
    </w:p>
    <w:p w14:paraId="7CE72289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标准物质</w:t>
      </w:r>
      <w:r>
        <w:rPr>
          <w:sz w:val="24"/>
          <w:szCs w:val="24"/>
        </w:rPr>
        <w:t>测量重复性引入的标准不确定度</w:t>
      </w:r>
      <w:r>
        <w:rPr>
          <w:rFonts w:hint="eastAsia"/>
          <w:i/>
          <w:iCs/>
          <w:sz w:val="24"/>
          <w:szCs w:val="24"/>
          <w:lang w:val="en-US" w:eastAsia="zh-CN"/>
        </w:rPr>
        <w:t>u</w:t>
      </w:r>
      <w:r>
        <w:rPr>
          <w:rFonts w:hint="eastAsia"/>
          <w:sz w:val="24"/>
          <w:szCs w:val="24"/>
          <w:lang w:val="en-US" w:eastAsia="zh-CN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sz w:val="24"/>
          <w:szCs w:val="24"/>
          <w:lang w:val="en-US" w:eastAsia="zh-CN"/>
        </w:rPr>
        <w:t>)</w:t>
      </w:r>
    </w:p>
    <w:p w14:paraId="5CE1ACD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通过多次重复测量计算的</w:t>
      </w:r>
      <w:r>
        <w:rPr>
          <w:rFonts w:hint="eastAsia"/>
          <w:sz w:val="24"/>
        </w:rPr>
        <w:t>实验标准差</w:t>
      </w:r>
      <w:r>
        <w:rPr>
          <w:sz w:val="24"/>
        </w:rPr>
        <w:t>除以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>
            <m:ctrlPr>
              <w:rPr>
                <w:rFonts w:ascii="Cambria Math" w:hAnsi="Cambria Math"/>
                <w:i/>
                <w:sz w:val="24"/>
              </w:rPr>
            </m:ctrlPr>
          </m:deg>
          <m:e>
            <m:r>
              <m:rPr/>
              <w:rPr>
                <w:rFonts w:ascii="Cambria Math" w:hAnsi="Cambria Math"/>
                <w:sz w:val="24"/>
              </w:rPr>
              <m:t>n</m:t>
            </m:r>
            <m:ctrlPr>
              <w:rPr>
                <w:rFonts w:ascii="Cambria Math" w:hAnsi="Cambria Math"/>
                <w:i/>
                <w:sz w:val="24"/>
              </w:rPr>
            </m:ctrlPr>
          </m:e>
        </m:rad>
      </m:oMath>
      <w:r>
        <w:rPr>
          <w:sz w:val="24"/>
        </w:rPr>
        <w:t>（</w:t>
      </w:r>
      <w:r>
        <w:rPr>
          <w:i/>
          <w:iCs/>
          <w:sz w:val="24"/>
        </w:rPr>
        <w:t>n</w:t>
      </w:r>
      <w:r>
        <w:rPr>
          <w:sz w:val="24"/>
        </w:rPr>
        <w:t>为重复测量次数）作为该不确定度分量。</w:t>
      </w:r>
    </w:p>
    <w:p w14:paraId="2E48CBB6">
      <w:pPr>
        <w:numPr>
          <w:ilvl w:val="0"/>
          <w:numId w:val="1"/>
        </w:numPr>
        <w:spacing w:line="360" w:lineRule="auto"/>
        <w:ind w:left="0" w:leftChars="0" w:firstLine="0" w:firstLineChars="0"/>
        <w:rPr>
          <w:sz w:val="24"/>
        </w:rPr>
      </w:pPr>
      <w:r>
        <w:rPr>
          <w:rFonts w:hint="eastAsia"/>
          <w:sz w:val="24"/>
        </w:rPr>
        <w:t>标准物质</w:t>
      </w:r>
      <w:r>
        <w:rPr>
          <w:sz w:val="24"/>
        </w:rPr>
        <w:t>引入的标准不确定度</w:t>
      </w:r>
      <w:r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</w:p>
    <w:p w14:paraId="7F49AE3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标准物质证书</w:t>
      </w:r>
      <w:r>
        <w:rPr>
          <w:rFonts w:hint="eastAsia"/>
          <w:sz w:val="24"/>
          <w:lang w:val="en-US" w:eastAsia="zh-CN"/>
        </w:rPr>
        <w:t>中的扩展</w:t>
      </w:r>
      <w:r>
        <w:rPr>
          <w:sz w:val="24"/>
        </w:rPr>
        <w:t>不确定度为</w:t>
      </w:r>
      <w:r>
        <w:rPr>
          <w:rFonts w:hint="eastAsia"/>
          <w:i/>
          <w:sz w:val="24"/>
          <w:lang w:val="en-US" w:eastAsia="zh-CN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)，</w:t>
      </w:r>
      <w:r>
        <w:rPr>
          <w:i/>
          <w:iCs/>
          <w:sz w:val="24"/>
        </w:rPr>
        <w:t>k</w:t>
      </w:r>
      <w:r>
        <w:rPr>
          <w:sz w:val="24"/>
        </w:rPr>
        <w:t>=2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则</w:t>
      </w:r>
      <w:r>
        <w:rPr>
          <w:sz w:val="24"/>
        </w:rPr>
        <w:t>标准物质引入的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w:r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  <w:r>
        <w:rPr>
          <w:rFonts w:hint="eastAsia"/>
          <w:sz w:val="24"/>
          <w:lang w:val="en-US" w:eastAsia="zh-CN"/>
        </w:rPr>
        <w:t>=</w:t>
      </w:r>
      <w:r>
        <w:rPr>
          <w:rFonts w:hint="eastAsia"/>
          <w:i/>
          <w:sz w:val="24"/>
          <w:lang w:val="en-US" w:eastAsia="zh-CN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  <w:r>
        <w:rPr>
          <w:rFonts w:hint="eastAsia"/>
          <w:sz w:val="24"/>
          <w:lang w:val="en-US" w:eastAsia="zh-CN"/>
        </w:rPr>
        <w:t>/2。</w:t>
      </w:r>
    </w:p>
    <w:p w14:paraId="729851F7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）</w:t>
      </w:r>
      <w:r>
        <w:rPr>
          <w:sz w:val="24"/>
        </w:rPr>
        <w:t>环境温度的影响</w:t>
      </w:r>
    </w:p>
    <w:p w14:paraId="28A8CC9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本规范规定的校准环境的温度条件为</w:t>
      </w:r>
      <w:r>
        <w:rPr>
          <w:rFonts w:hint="eastAsia"/>
          <w:sz w:val="24"/>
        </w:rPr>
        <w:t>（</w:t>
      </w:r>
      <w:r>
        <w:rPr>
          <w:sz w:val="24"/>
        </w:rPr>
        <w:t>20</w:t>
      </w:r>
      <w:r>
        <w:rPr>
          <w:rFonts w:hint="eastAsia"/>
          <w:sz w:val="24"/>
        </w:rPr>
        <w:t>~28）℃</w:t>
      </w:r>
      <w:r>
        <w:rPr>
          <w:sz w:val="24"/>
        </w:rPr>
        <w:t>，在此范围内</w:t>
      </w:r>
      <w:r>
        <w:rPr>
          <w:rFonts w:hint="eastAsia"/>
          <w:sz w:val="24"/>
        </w:rPr>
        <w:t>，</w:t>
      </w:r>
      <w:r>
        <w:rPr>
          <w:sz w:val="24"/>
        </w:rPr>
        <w:t>温度的波动对测量结果影响较小，因此可不予考虑。</w:t>
      </w:r>
    </w:p>
    <w:p w14:paraId="54F2F907">
      <w:pPr>
        <w:pStyle w:val="8"/>
        <w:spacing w:line="360" w:lineRule="auto"/>
        <w:ind w:left="0" w:leftChars="0"/>
        <w:rPr>
          <w:rFonts w:ascii="宋体" w:hAnsi="宋体" w:cs="宋体"/>
          <w:bCs/>
        </w:rPr>
      </w:pPr>
      <w:r>
        <w:rPr>
          <w:rFonts w:hint="eastAsia" w:ascii="宋体" w:hAnsi="宋体" w:cs="宋体"/>
        </w:rPr>
        <w:t>B.1.3</w:t>
      </w:r>
      <w:r>
        <w:rPr>
          <w:rFonts w:hint="eastAsia" w:ascii="宋体" w:hAnsi="宋体" w:cs="宋体"/>
          <w:bCs/>
        </w:rPr>
        <w:t xml:space="preserve"> 测量不确定度评定</w:t>
      </w:r>
    </w:p>
    <w:p w14:paraId="1BCFA535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/>
          <w:sz w:val="24"/>
        </w:rPr>
        <w:t>标准物质测量重复性引入的标准不确定度</w:t>
      </w: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</w:rPr>
        <w:t>(</w:t>
      </w:r>
      <w:r>
        <w:rPr>
          <w:rFonts w:hint="eastAsia"/>
          <w:i/>
          <w:iCs/>
          <w:sz w:val="24"/>
        </w:rPr>
        <w:t>x</w:t>
      </w:r>
      <w:r>
        <w:rPr>
          <w:rFonts w:hint="eastAsia"/>
          <w:sz w:val="24"/>
        </w:rPr>
        <w:t>)</w:t>
      </w:r>
    </w:p>
    <w:p w14:paraId="611564A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sz w:val="24"/>
        </w:rPr>
        <w:t>重复测量</w:t>
      </w:r>
      <w:r>
        <w:rPr>
          <w:rFonts w:hint="eastAsia"/>
          <w:sz w:val="24"/>
        </w:rPr>
        <w:t>标准物质</w:t>
      </w:r>
      <w:r>
        <w:rPr>
          <w:sz w:val="24"/>
        </w:rPr>
        <w:t>引入的标准不确定度通过式（</w:t>
      </w:r>
      <w:r>
        <w:rPr>
          <w:rFonts w:hint="eastAsia"/>
          <w:iCs/>
          <w:sz w:val="24"/>
          <w:lang w:val="en-US" w:eastAsia="zh-CN"/>
        </w:rPr>
        <w:t>A</w:t>
      </w:r>
      <w:r>
        <w:rPr>
          <w:rFonts w:hint="eastAsia"/>
          <w:iCs/>
          <w:sz w:val="24"/>
        </w:rPr>
        <w:t>.</w:t>
      </w:r>
      <w:r>
        <w:rPr>
          <w:rFonts w:hint="eastAsia" w:ascii="宋体" w:hAnsi="宋体" w:cs="宋体"/>
          <w:iCs/>
          <w:sz w:val="24"/>
        </w:rPr>
        <w:t>2</w:t>
      </w:r>
      <w:r>
        <w:rPr>
          <w:sz w:val="24"/>
        </w:rPr>
        <w:t>）计算</w:t>
      </w:r>
      <w:r>
        <w:rPr>
          <w:rFonts w:hint="eastAsia"/>
          <w:sz w:val="24"/>
        </w:rPr>
        <w:t>:</w:t>
      </w:r>
    </w:p>
    <w:p w14:paraId="2E4AC89C">
      <w:pPr>
        <w:pStyle w:val="50"/>
        <w:jc w:val="right"/>
      </w:pPr>
      <m:oMath>
        <m:r>
          <m:rPr/>
          <w:rPr>
            <w:rFonts w:hint="default" w:ascii="Cambria Math" w:hAnsi="Cambria Math" w:cs="微软雅黑"/>
            <w:sz w:val="24"/>
            <w:highlight w:val="none"/>
            <w:lang w:val="en-US" w:eastAsia="zh-CN"/>
          </w:rPr>
          <m:t>u</m:t>
        </m:r>
        <m:d>
          <m:dP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e>
        </m:d>
        <m:r>
          <m:rPr/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radPr>
          <m:deg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</w:rPr>
                      <m:t>i=1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</w:rPr>
                      <m:t>n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24"/>
                                    <w:vertAlign w:val="subscript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eastAsia="等线"/>
                                <w:color w:val="000000"/>
                                <w:kern w:val="24"/>
                                <w:sz w:val="24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等线"/>
                            <w:color w:val="000000"/>
                            <w:kern w:val="24"/>
                            <w:sz w:val="24"/>
                          </w:rPr>
                          <m:t>2</m:t>
                        </m: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e>
                </m:nary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num>
              <m:den>
                <m:r>
                  <m:rPr/>
                  <w:rPr>
                    <w:rFonts w:hint="default" w:ascii="Cambria Math" w:hAnsi="Cambria Math" w:eastAsia="等线"/>
                    <w:color w:val="000000"/>
                    <w:kern w:val="24"/>
                    <w:sz w:val="24"/>
                    <w:lang w:val="en-US" w:eastAsia="zh-CN"/>
                  </w:rPr>
                  <m:t>n</m:t>
                </m:r>
                <m:d>
                  <m:dP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</w:rPr>
                      <m:t>n−1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e>
                </m:d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den>
            </m:f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e>
        </m:rad>
      </m:oMath>
      <w:r>
        <w:rPr>
          <w:rFonts w:hint="eastAsia" w:hAnsi="Cambria Math" w:eastAsia="等线"/>
          <w:i w:val="0"/>
          <w:iCs/>
          <w:color w:val="000000"/>
          <w:kern w:val="24"/>
          <w:sz w:val="24"/>
          <w:lang w:val="en-US" w:eastAsia="zh-CN"/>
        </w:rPr>
        <w:t xml:space="preserve">                    </w:t>
      </w:r>
      <w:r>
        <w:t>（</w:t>
      </w:r>
      <w:r>
        <w:rPr>
          <w:rFonts w:hint="eastAsia"/>
          <w:iCs/>
          <w:sz w:val="24"/>
          <w:lang w:val="en-US" w:eastAsia="zh-CN"/>
        </w:rPr>
        <w:t>A</w:t>
      </w:r>
      <w:r>
        <w:rPr>
          <w:rFonts w:hint="eastAsia"/>
          <w:iCs/>
          <w:sz w:val="24"/>
        </w:rPr>
        <w:t>.</w:t>
      </w:r>
      <w:r>
        <w:rPr>
          <w:rFonts w:hint="eastAsia" w:ascii="宋体" w:hAnsi="宋体" w:cs="宋体"/>
          <w:iCs/>
          <w:sz w:val="24"/>
        </w:rPr>
        <w:t>2</w:t>
      </w:r>
      <w:r>
        <w:t>）</w:t>
      </w:r>
    </w:p>
    <w:p w14:paraId="595AB454">
      <w:pPr>
        <w:pStyle w:val="51"/>
        <w:jc w:val="both"/>
        <w:rPr>
          <w:rFonts w:ascii="Times New Roman" w:hAnsi="Times New Roman" w:eastAsia="宋体" w:cstheme="minorBidi"/>
          <w:bCs/>
          <w:kern w:val="2"/>
          <w:sz w:val="24"/>
          <w:szCs w:val="21"/>
          <w:lang w:val="en-US" w:eastAsia="zh-CN" w:bidi="ar-SA"/>
        </w:rPr>
      </w:pPr>
      <w:r>
        <w:rPr>
          <w:rFonts w:ascii="Times New Roman" w:hAnsi="Times New Roman" w:eastAsia="宋体" w:cstheme="minorBidi"/>
          <w:bCs/>
          <w:kern w:val="2"/>
          <w:sz w:val="24"/>
          <w:szCs w:val="21"/>
          <w:lang w:val="en-US" w:eastAsia="zh-CN" w:bidi="ar-SA"/>
        </w:rPr>
        <w:t>式中：</w:t>
      </w:r>
    </w:p>
    <w:p w14:paraId="44DDE101">
      <w:pPr>
        <w:pStyle w:val="50"/>
        <w:rPr>
          <w:bCs/>
        </w:rPr>
      </w:pP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</w:rPr>
        <w:t>(</w:t>
      </w:r>
      <w:r>
        <w:rPr>
          <w:rFonts w:hint="eastAsia"/>
          <w:i/>
          <w:iCs/>
          <w:sz w:val="24"/>
        </w:rPr>
        <w:t>x</w:t>
      </w:r>
      <w:r>
        <w:rPr>
          <w:rFonts w:hint="eastAsia"/>
          <w:sz w:val="24"/>
        </w:rPr>
        <w:t>)</w:t>
      </w:r>
      <w:r>
        <w:rPr>
          <w:sz w:val="24"/>
          <w:szCs w:val="24"/>
        </w:rPr>
        <w:t>——</w:t>
      </w:r>
      <w:r>
        <w:rPr>
          <w:bCs/>
        </w:rPr>
        <w:t>样品测量重复性引入的标准不确定度；</w:t>
      </w:r>
    </w:p>
    <w:p w14:paraId="6DB3C5AA">
      <w:pPr>
        <w:pStyle w:val="50"/>
        <w:rPr>
          <w:bCs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  <w:vertAlign w:val="subscript"/>
              </w:rPr>
              <m:t>i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sz w:val="24"/>
          <w:szCs w:val="24"/>
        </w:rPr>
        <w:t>——</w:t>
      </w:r>
      <w:r>
        <w:rPr>
          <w:bCs/>
        </w:rPr>
        <w:t>第</w:t>
      </w:r>
      <w:r>
        <w:rPr>
          <w:bCs/>
          <w:i/>
          <w:iCs/>
        </w:rPr>
        <w:t>i</w:t>
      </w:r>
      <w:r>
        <w:rPr>
          <w:bCs/>
        </w:rPr>
        <w:t>次的测量值；</w:t>
      </w:r>
    </w:p>
    <w:p w14:paraId="4DF5CA6D">
      <w:pPr>
        <w:pStyle w:val="50"/>
        <w:rPr>
          <w:rFonts w:hint="eastAsia" w:eastAsia="宋体"/>
          <w:bCs/>
          <w:lang w:val="en-US"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sz w:val="24"/>
          <w:szCs w:val="24"/>
        </w:rPr>
        <w:t>——</w:t>
      </w:r>
      <w:r>
        <w:rPr>
          <w:bCs/>
        </w:rPr>
        <w:t>测量值的平均值</w:t>
      </w:r>
      <w:r>
        <w:rPr>
          <w:rFonts w:hint="eastAsia"/>
          <w:bCs/>
          <w:lang w:eastAsia="zh-CN"/>
        </w:rPr>
        <w:t>；</w:t>
      </w:r>
    </w:p>
    <w:p w14:paraId="79F50823">
      <w:pPr>
        <w:pStyle w:val="50"/>
        <w:rPr>
          <w:bCs/>
        </w:rPr>
      </w:pPr>
      <w:r>
        <w:rPr>
          <w:rFonts w:hint="eastAsia"/>
          <w:i/>
          <w:iCs/>
          <w:sz w:val="24"/>
          <w:highlight w:val="none"/>
          <w:lang w:val="en-US" w:eastAsia="zh-CN"/>
        </w:rPr>
        <w:t>n</w:t>
      </w:r>
      <w:r>
        <w:rPr>
          <w:sz w:val="24"/>
          <w:szCs w:val="24"/>
        </w:rPr>
        <w:t>——</w:t>
      </w:r>
      <w:r>
        <w:rPr>
          <w:bCs/>
        </w:rPr>
        <w:t>测量次数；</w:t>
      </w:r>
    </w:p>
    <w:p w14:paraId="4D5CFD33">
      <w:pPr>
        <w:pStyle w:val="50"/>
        <w:rPr>
          <w:rFonts w:hint="eastAsia"/>
          <w:bCs/>
          <w:lang w:eastAsia="zh-CN"/>
        </w:rPr>
      </w:pPr>
      <w:r>
        <w:object>
          <v:shape id="_x0000_i1025" o:spt="75" type="#_x0000_t75" style="height:12.15pt;width:5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sz w:val="24"/>
          <w:szCs w:val="24"/>
        </w:rPr>
        <w:t>——</w:t>
      </w:r>
      <w:r>
        <w:rPr>
          <w:bCs/>
        </w:rPr>
        <w:t>测量次序号</w:t>
      </w:r>
      <w:r>
        <w:rPr>
          <w:rFonts w:hint="eastAsia"/>
          <w:bCs/>
          <w:lang w:eastAsia="zh-CN"/>
        </w:rPr>
        <w:t>。</w:t>
      </w:r>
    </w:p>
    <w:p w14:paraId="62A8C09E">
      <w:pPr>
        <w:pStyle w:val="50"/>
        <w:rPr>
          <w:rFonts w:hint="default" w:eastAsia="宋体"/>
          <w:bCs/>
          <w:lang w:val="en-US" w:eastAsia="zh-CN"/>
        </w:rPr>
      </w:pPr>
      <w:r>
        <w:rPr>
          <w:rFonts w:hint="eastAsia"/>
          <w:sz w:val="24"/>
          <w:lang w:eastAsia="zh-CN"/>
        </w:rPr>
        <w:t>测量重复性引入的标准不确定度</w:t>
      </w:r>
      <w:r>
        <w:rPr>
          <w:rFonts w:hint="eastAsia"/>
          <w:sz w:val="24"/>
          <w:lang w:val="en-US" w:eastAsia="zh-CN"/>
        </w:rPr>
        <w:t>见表A.1。</w:t>
      </w:r>
    </w:p>
    <w:p w14:paraId="4CE3FA53">
      <w:pPr>
        <w:spacing w:line="360" w:lineRule="auto"/>
        <w:jc w:val="center"/>
        <w:rPr>
          <w:rFonts w:hint="eastAsia"/>
          <w:bCs/>
          <w:lang w:eastAsia="zh-CN"/>
        </w:rPr>
      </w:pPr>
      <w:r>
        <w:rPr>
          <w:rFonts w:hint="eastAsia" w:ascii="黑体" w:hAnsi="黑体" w:eastAsia="黑体" w:cs="黑体"/>
          <w:lang w:val="en-US" w:eastAsia="zh-CN"/>
        </w:rPr>
        <w:t>表A.1 测量重复性引入的标准不确定度</w:t>
      </w:r>
    </w:p>
    <w:tbl>
      <w:tblPr>
        <w:tblStyle w:val="16"/>
        <w:tblW w:w="75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768"/>
        <w:gridCol w:w="1343"/>
        <w:gridCol w:w="1017"/>
        <w:gridCol w:w="1343"/>
        <w:gridCol w:w="1223"/>
      </w:tblGrid>
      <w:tr w14:paraId="5DF69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D9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结合能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4B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F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3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4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</w:p>
        </w:tc>
      </w:tr>
      <w:tr w14:paraId="72101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5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测量值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D7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7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53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7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F5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284.49</w:t>
            </w:r>
          </w:p>
        </w:tc>
      </w:tr>
      <w:tr w14:paraId="73900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56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A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E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DD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284.49</w:t>
            </w:r>
          </w:p>
        </w:tc>
      </w:tr>
      <w:tr w14:paraId="62B50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3F2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9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61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5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BF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5E3F2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4E5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E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7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4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56DFD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60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0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3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0E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9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04814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92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平均值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F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932.77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368.29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D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284.50 </w:t>
            </w:r>
          </w:p>
        </w:tc>
      </w:tr>
      <w:tr w14:paraId="2B839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6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41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测量重复性引入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的标准不确定度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)/eV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1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0.0049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49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A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0.0037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42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0.0024 </w:t>
            </w:r>
          </w:p>
        </w:tc>
      </w:tr>
    </w:tbl>
    <w:p w14:paraId="311D189D">
      <w:pPr>
        <w:pStyle w:val="50"/>
        <w:ind w:left="0" w:leftChars="0" w:firstLine="0" w:firstLineChars="0"/>
        <w:rPr>
          <w:rFonts w:hint="eastAsia"/>
          <w:bCs/>
          <w:lang w:eastAsia="zh-CN"/>
        </w:rPr>
      </w:pPr>
    </w:p>
    <w:p w14:paraId="35058B5C">
      <w:pPr>
        <w:numPr>
          <w:ilvl w:val="0"/>
          <w:numId w:val="1"/>
        </w:numPr>
        <w:spacing w:line="360" w:lineRule="auto"/>
        <w:ind w:left="0" w:leftChars="0" w:firstLine="0" w:firstLineChars="0"/>
        <w:rPr>
          <w:sz w:val="24"/>
        </w:rPr>
      </w:pPr>
      <w:r>
        <w:rPr>
          <w:rFonts w:hint="eastAsia"/>
          <w:sz w:val="24"/>
        </w:rPr>
        <w:t>标准物质</w:t>
      </w:r>
      <w:r>
        <w:rPr>
          <w:sz w:val="24"/>
        </w:rPr>
        <w:t>引入的标准不确定度</w:t>
      </w:r>
      <w:r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</w:p>
    <w:p w14:paraId="269E01D8">
      <w:pPr>
        <w:pStyle w:val="50"/>
        <w:rPr>
          <w:rFonts w:hint="eastAsia"/>
          <w:sz w:val="24"/>
          <w:lang w:val="en-US" w:eastAsia="zh-CN"/>
        </w:rPr>
      </w:pPr>
      <w:r>
        <w:rPr>
          <w:sz w:val="24"/>
        </w:rPr>
        <w:t>由</w:t>
      </w:r>
      <w:r>
        <w:rPr>
          <w:rFonts w:hint="eastAsia"/>
          <w:sz w:val="24"/>
        </w:rPr>
        <w:t>标准物质</w:t>
      </w:r>
      <w:r>
        <w:rPr>
          <w:sz w:val="24"/>
        </w:rPr>
        <w:t>证书给出的</w:t>
      </w:r>
      <w:r>
        <w:rPr>
          <w:rFonts w:hint="eastAsia"/>
          <w:sz w:val="24"/>
          <w:lang w:val="en-US" w:eastAsia="zh-CN"/>
        </w:rPr>
        <w:t>结合能的</w:t>
      </w:r>
      <w:r>
        <w:rPr>
          <w:sz w:val="24"/>
        </w:rPr>
        <w:t>扩展不确定度</w:t>
      </w:r>
      <w:r>
        <w:rPr>
          <w:rFonts w:hint="eastAsia"/>
          <w:sz w:val="24"/>
        </w:rPr>
        <w:t>计算得到</w:t>
      </w:r>
      <w:r>
        <w:rPr>
          <w:sz w:val="24"/>
        </w:rPr>
        <w:t>标准不确定度为</w:t>
      </w:r>
      <w:r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  <w:r>
        <w:rPr>
          <w:rFonts w:hint="eastAsia"/>
          <w:sz w:val="24"/>
          <w:lang w:val="en-US" w:eastAsia="zh-CN"/>
        </w:rPr>
        <w:t>=</w:t>
      </w:r>
      <w:r>
        <w:rPr>
          <w:rFonts w:hint="eastAsia"/>
          <w:i/>
          <w:sz w:val="24"/>
          <w:lang w:val="en-US" w:eastAsia="zh-CN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  <w:r>
        <w:rPr>
          <w:rFonts w:hint="eastAsia"/>
          <w:sz w:val="24"/>
          <w:lang w:val="en-US" w:eastAsia="zh-CN"/>
        </w:rPr>
        <w:t>/2。</w:t>
      </w:r>
    </w:p>
    <w:p w14:paraId="6066C47B">
      <w:pPr>
        <w:pStyle w:val="5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标准物质</w:t>
      </w:r>
      <w:r>
        <w:rPr>
          <w:sz w:val="24"/>
        </w:rPr>
        <w:t>引入的标准不确定度</w:t>
      </w:r>
      <w:r>
        <w:rPr>
          <w:rFonts w:hint="eastAsia"/>
          <w:sz w:val="24"/>
          <w:lang w:val="en-US" w:eastAsia="zh-CN"/>
        </w:rPr>
        <w:t>见表A.2。</w:t>
      </w:r>
    </w:p>
    <w:p w14:paraId="3AB8EC6D">
      <w:pPr>
        <w:spacing w:line="360" w:lineRule="auto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表A.2 标准物质引入的标准不确定度</w:t>
      </w: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874"/>
        <w:gridCol w:w="898"/>
        <w:gridCol w:w="909"/>
        <w:gridCol w:w="596"/>
      </w:tblGrid>
      <w:tr w14:paraId="22E27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结合能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AA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8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0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</w:p>
        </w:tc>
      </w:tr>
      <w:tr w14:paraId="37009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sz w:val="21"/>
                <w:szCs w:val="21"/>
              </w:rPr>
              <w:t>标准物质</w:t>
            </w:r>
            <w:r>
              <w:rPr>
                <w:sz w:val="21"/>
                <w:szCs w:val="21"/>
              </w:rPr>
              <w:t>引入的标准不确定度</w:t>
            </w:r>
            <w:r>
              <w:rPr>
                <w:i/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/>
                <w:i w:val="0"/>
                <w:iCs w:val="0"/>
                <w:sz w:val="21"/>
                <w:szCs w:val="21"/>
                <w:vertAlign w:val="subscript"/>
                <w:lang w:val="en-US" w:eastAsia="zh-CN"/>
              </w:rPr>
              <w:t>r</w:t>
            </w:r>
            <w:r>
              <w:rPr>
                <w:sz w:val="21"/>
                <w:szCs w:val="21"/>
              </w:rPr>
              <w:t>)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7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D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7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</w:tbl>
    <w:p w14:paraId="6A681741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</w:p>
    <w:p w14:paraId="5B3076B2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（4）</w:t>
      </w:r>
      <w:r>
        <w:rPr>
          <w:sz w:val="24"/>
        </w:rPr>
        <w:t>合成标准不确定度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  <w:lang w:val="en-US" w:eastAsia="zh-CN"/>
        </w:rPr>
        <w:t>c</w:t>
      </w:r>
    </w:p>
    <w:p w14:paraId="6263749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以上各分量可近似不相关，合成标准不确定度可通过下式进行合成计算：</w:t>
      </w:r>
    </w:p>
    <w:p w14:paraId="2B94CC08">
      <w:pPr>
        <w:spacing w:line="360" w:lineRule="auto"/>
        <w:ind w:firstLine="480" w:firstLineChars="200"/>
        <w:jc w:val="center"/>
        <w:rPr>
          <w:rFonts w:hAnsi="Cambria Math"/>
          <w:i w:val="0"/>
          <w:iCs/>
          <w:kern w:val="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iCs/>
                  <w:kern w:val="24"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iCs/>
                  <w:kern w:val="24"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sSupPr>
                <m:e>
                  <m:r>
                    <m:rPr/>
                    <w:rPr>
                      <w:rFonts w:hint="default" w:ascii="Cambria Math" w:hAnsi="Cambria Math"/>
                      <w:kern w:val="24"/>
                      <w:sz w:val="24"/>
                      <w:lang w:val="en-US" w:eastAsia="zh-CN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/>
                      <w:kern w:val="24"/>
                      <w:sz w:val="24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/>
                      <w:sz w:val="24"/>
                      <w:vertAlign w:val="subscript"/>
                      <w:lang w:val="en-US" w:eastAsia="zh-CN"/>
                    </w:rPr>
                    <m:t>x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/>
                  <w:sz w:val="24"/>
                  <w:lang w:val="en-US"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sSupPr>
                <m:e>
                  <m:r>
                    <m:rPr/>
                    <w:rPr>
                      <w:rFonts w:hint="default" w:ascii="Cambria Math" w:hAnsi="Cambria Math"/>
                      <w:kern w:val="24"/>
                      <w:sz w:val="24"/>
                      <w:lang w:val="en-US" w:eastAsia="zh-CN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/>
                      <w:kern w:val="24"/>
                      <w:sz w:val="24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sz w:val="24"/>
                    </w:rPr>
                  </m:ctrlPr>
                </m:e>
              </m:d>
              <m:ctrlPr>
                <w:rPr>
                  <w:rFonts w:ascii="Cambria Math" w:hAnsi="Cambria Math"/>
                  <w:i/>
                  <w:iCs/>
                  <w:kern w:val="24"/>
                  <w:sz w:val="24"/>
                </w:rPr>
              </m:ctrlPr>
            </m:e>
          </m:rad>
        </m:oMath>
      </m:oMathPara>
    </w:p>
    <w:p w14:paraId="1796DCC1">
      <w:pPr>
        <w:pStyle w:val="50"/>
        <w:rPr>
          <w:rFonts w:hAnsi="Cambria Math"/>
          <w:i w:val="0"/>
          <w:iCs/>
          <w:kern w:val="24"/>
          <w:sz w:val="24"/>
        </w:rPr>
      </w:pPr>
      <w:r>
        <w:rPr>
          <w:rFonts w:hint="eastAsia"/>
          <w:sz w:val="24"/>
        </w:rPr>
        <w:t>标准物质</w:t>
      </w:r>
      <w:r>
        <w:rPr>
          <w:sz w:val="24"/>
        </w:rPr>
        <w:t>引入的标准不确定度</w:t>
      </w:r>
      <w:r>
        <w:rPr>
          <w:rFonts w:hint="eastAsia"/>
          <w:sz w:val="24"/>
          <w:lang w:val="en-US" w:eastAsia="zh-CN"/>
        </w:rPr>
        <w:t>见表A.3。</w:t>
      </w:r>
    </w:p>
    <w:p w14:paraId="0A5FDAD3">
      <w:pPr>
        <w:spacing w:line="360" w:lineRule="auto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表A.3 合成标准不确定度</w:t>
      </w: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874"/>
        <w:gridCol w:w="898"/>
        <w:gridCol w:w="909"/>
        <w:gridCol w:w="794"/>
      </w:tblGrid>
      <w:tr w14:paraId="1323C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0C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结合能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B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44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F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1C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</w:p>
        </w:tc>
      </w:tr>
      <w:tr w14:paraId="7700D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C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标准不确定</w:t>
            </w:r>
            <w:r>
              <w:rPr>
                <w:rFonts w:hint="default" w:ascii="Times New Roman" w:hAnsi="Times New Roman" w:cs="Times New Roman"/>
                <w:i/>
                <w:sz w:val="21"/>
                <w:szCs w:val="21"/>
              </w:rPr>
              <w:t>u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bscript"/>
                <w:lang w:val="en-US" w:eastAsia="zh-CN"/>
              </w:rPr>
              <w:t>c</w:t>
            </w:r>
            <w:r>
              <w:rPr>
                <w:rStyle w:val="53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81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0.0502 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B6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0.0500 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B7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0.0501 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D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0.0600 </w:t>
            </w:r>
          </w:p>
        </w:tc>
      </w:tr>
    </w:tbl>
    <w:p w14:paraId="5E11D7AF">
      <w:pPr>
        <w:spacing w:line="360" w:lineRule="auto"/>
        <w:ind w:firstLine="480" w:firstLineChars="200"/>
        <w:jc w:val="center"/>
        <w:rPr>
          <w:rFonts w:hAnsi="Cambria Math"/>
          <w:i w:val="0"/>
          <w:iCs/>
          <w:kern w:val="24"/>
          <w:sz w:val="24"/>
        </w:rPr>
      </w:pPr>
    </w:p>
    <w:p w14:paraId="01A641A6"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（5）</w:t>
      </w:r>
      <w:r>
        <w:rPr>
          <w:sz w:val="24"/>
        </w:rPr>
        <w:t>扩展不确定度</w:t>
      </w:r>
      <w:r>
        <w:rPr>
          <w:rFonts w:hint="eastAsia"/>
          <w:i/>
          <w:iCs/>
          <w:sz w:val="24"/>
          <w:lang w:val="en-US" w:eastAsia="zh-CN"/>
        </w:rPr>
        <w:t>U</w:t>
      </w:r>
    </w:p>
    <w:p w14:paraId="7E4B779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扩展不确定度</w:t>
      </w:r>
      <w:r>
        <w:rPr>
          <w:i/>
          <w:sz w:val="24"/>
        </w:rPr>
        <w:t>U</w:t>
      </w:r>
      <w:r>
        <w:rPr>
          <w:sz w:val="24"/>
        </w:rPr>
        <w:t>等于包含因子</w:t>
      </w:r>
      <w:r>
        <w:rPr>
          <w:i/>
          <w:sz w:val="24"/>
        </w:rPr>
        <w:t>k</w:t>
      </w:r>
      <w:r>
        <w:rPr>
          <w:sz w:val="24"/>
        </w:rPr>
        <w:t>与合成标准不确定度</w:t>
      </w:r>
      <w:r>
        <w:rPr>
          <w:i/>
          <w:sz w:val="24"/>
        </w:rPr>
        <w:t>u</w:t>
      </w:r>
      <w:r>
        <w:rPr>
          <w:sz w:val="24"/>
          <w:vertAlign w:val="subscript"/>
        </w:rPr>
        <w:t>c</w:t>
      </w:r>
      <w:r>
        <w:rPr>
          <w:sz w:val="24"/>
        </w:rPr>
        <w:t>之积，在此取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rFonts w:hint="eastAsia" w:ascii="宋体" w:hAnsi="宋体" w:cs="宋体"/>
          <w:sz w:val="24"/>
        </w:rPr>
        <w:t>2</w:t>
      </w:r>
      <w:r>
        <w:rPr>
          <w:sz w:val="24"/>
        </w:rPr>
        <w:t>。</w:t>
      </w:r>
    </w:p>
    <w:p w14:paraId="516975F3">
      <w:pPr>
        <w:spacing w:line="360" w:lineRule="auto"/>
        <w:jc w:val="center"/>
        <w:rPr>
          <w:rFonts w:hAnsi="Cambria Math"/>
          <w:i/>
          <w:sz w:val="24"/>
        </w:rPr>
      </w:pPr>
      <w:r>
        <w:rPr>
          <w:rFonts w:hint="eastAsia"/>
          <w:i/>
          <w:iCs/>
          <w:kern w:val="24"/>
          <w:sz w:val="24"/>
          <w:lang w:val="en-US" w:eastAsia="zh-CN"/>
        </w:rPr>
        <w:t>U</w:t>
      </w:r>
      <m:oMath>
        <m:r>
          <m:rPr/>
          <w:rPr>
            <w:rFonts w:ascii="Cambria Math" w:hAnsi="Cambria Math"/>
            <w:kern w:val="24"/>
            <w:sz w:val="24"/>
          </w:rPr>
          <m:t>=k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</w:p>
    <w:p w14:paraId="6DE0F787">
      <w:pPr>
        <w:spacing w:line="360" w:lineRule="auto"/>
        <w:jc w:val="both"/>
        <w:rPr>
          <w:rFonts w:hAnsi="Cambria Math"/>
          <w:i/>
          <w:sz w:val="24"/>
        </w:rPr>
      </w:pPr>
    </w:p>
    <w:p w14:paraId="47B80C2D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B.1.4 报告结果</w:t>
      </w:r>
    </w:p>
    <w:p w14:paraId="23478D9C">
      <w:pPr>
        <w:spacing w:line="360" w:lineRule="auto"/>
        <w:ind w:firstLine="480" w:firstLineChars="200"/>
        <w:rPr>
          <w:rFonts w:hAnsi="Cambria Math"/>
          <w:i/>
          <w:sz w:val="24"/>
        </w:rPr>
      </w:pPr>
      <w:r>
        <w:rPr>
          <w:sz w:val="24"/>
        </w:rPr>
        <w:t>通过以上分析和计算，</w:t>
      </w:r>
      <w:r>
        <w:rPr>
          <w:rFonts w:hint="eastAsia"/>
          <w:sz w:val="24"/>
        </w:rPr>
        <w:t>结合能示值误差</w:t>
      </w:r>
      <w:r>
        <w:rPr>
          <w:rFonts w:hint="eastAsia"/>
          <w:sz w:val="24"/>
          <w:lang w:eastAsia="zh-CN"/>
        </w:rPr>
        <w:t>的</w:t>
      </w:r>
      <w:r>
        <w:rPr>
          <w:rFonts w:hint="eastAsia"/>
          <w:sz w:val="24"/>
          <w:lang w:val="en-US" w:eastAsia="zh-CN"/>
        </w:rPr>
        <w:t>扩展</w:t>
      </w:r>
      <w:r>
        <w:rPr>
          <w:sz w:val="24"/>
        </w:rPr>
        <w:t>不确定度</w:t>
      </w:r>
      <w:r>
        <w:rPr>
          <w:rFonts w:hint="eastAsia"/>
          <w:sz w:val="24"/>
          <w:lang w:val="en-US" w:eastAsia="zh-CN"/>
        </w:rPr>
        <w:t>见表A.4。</w:t>
      </w:r>
    </w:p>
    <w:p w14:paraId="593868AA">
      <w:pPr>
        <w:spacing w:line="360" w:lineRule="auto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表A.4 扩展不确定度</w:t>
      </w: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874"/>
        <w:gridCol w:w="898"/>
        <w:gridCol w:w="909"/>
        <w:gridCol w:w="596"/>
      </w:tblGrid>
      <w:tr w14:paraId="46FC4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F3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结合能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FA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08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</w:p>
        </w:tc>
      </w:tr>
      <w:tr w14:paraId="1C5D2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1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扩展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不确定</w:t>
            </w:r>
            <w:r>
              <w:rPr>
                <w:rFonts w:hint="default" w:ascii="Times New Roman" w:hAnsi="Times New Roman" w:cs="Times New Roman"/>
                <w:i/>
                <w:sz w:val="21"/>
                <w:szCs w:val="21"/>
                <w:lang w:val="en-US" w:eastAsia="zh-CN"/>
              </w:rPr>
              <w:t>U</w:t>
            </w:r>
            <w:r>
              <w:rPr>
                <w:rStyle w:val="53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4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4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1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E4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</w:tr>
    </w:tbl>
    <w:p w14:paraId="0D161ACA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71552BB6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2B06FC75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00D676FA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6FC918C2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768D8925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389B7D95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35B7A272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33144224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20453468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277E5E96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5A898530">
      <w:pPr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</w:pPr>
    </w:p>
    <w:p w14:paraId="2B474DB9">
      <w:pPr>
        <w:spacing w:before="156" w:beforeLines="50" w:after="156" w:afterLines="50" w:line="360" w:lineRule="auto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bookmarkStart w:id="65" w:name="_Toc29866"/>
      <w:r>
        <w:rPr>
          <w:rStyle w:val="22"/>
          <w:rFonts w:hint="eastAsia" w:ascii="黑体" w:hAnsi="黑体" w:eastAsia="黑体"/>
          <w:sz w:val="28"/>
          <w:szCs w:val="28"/>
        </w:rPr>
        <w:t>附录</w:t>
      </w:r>
      <w:bookmarkEnd w:id="65"/>
      <w:r>
        <w:rPr>
          <w:rStyle w:val="22"/>
          <w:rFonts w:hint="eastAsia" w:ascii="黑体" w:hAnsi="黑体" w:eastAsia="黑体"/>
          <w:sz w:val="28"/>
          <w:szCs w:val="28"/>
          <w:lang w:val="en-US" w:eastAsia="zh-CN"/>
        </w:rPr>
        <w:t>B</w:t>
      </w:r>
    </w:p>
    <w:p w14:paraId="7E6FC45E">
      <w:pPr>
        <w:jc w:val="center"/>
        <w:outlineLvl w:val="0"/>
        <w:rPr>
          <w:rFonts w:ascii="黑体" w:hAnsi="黑体" w:eastAsia="黑体" w:cs="黑体"/>
          <w:sz w:val="28"/>
          <w:szCs w:val="36"/>
        </w:rPr>
      </w:pPr>
      <w:bookmarkStart w:id="66" w:name="_Toc31146"/>
      <w:bookmarkStart w:id="67" w:name="_Toc4306"/>
      <w:bookmarkStart w:id="68" w:name="_Toc12841"/>
      <w:r>
        <w:rPr>
          <w:rFonts w:hint="eastAsia" w:ascii="黑体" w:hAnsi="黑体" w:eastAsia="黑体" w:cs="黑体"/>
          <w:sz w:val="28"/>
          <w:szCs w:val="36"/>
        </w:rPr>
        <w:t>校准原始记录格式</w:t>
      </w:r>
      <w:bookmarkEnd w:id="66"/>
      <w:bookmarkEnd w:id="67"/>
      <w:bookmarkEnd w:id="68"/>
    </w:p>
    <w:p w14:paraId="45F4EABD">
      <w:pPr>
        <w:spacing w:line="360" w:lineRule="auto"/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（推荐性表格）</w:t>
      </w:r>
    </w:p>
    <w:p w14:paraId="2ECD2141"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记录编号：                                                               共  页/第  页</w:t>
      </w:r>
    </w:p>
    <w:p w14:paraId="20141D48">
      <w:pPr>
        <w:numPr>
          <w:ilvl w:val="0"/>
          <w:numId w:val="2"/>
        </w:num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送校信息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4535"/>
      </w:tblGrid>
      <w:tr w14:paraId="0AFA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35" w:type="dxa"/>
          </w:tcPr>
          <w:p w14:paraId="59E0BB67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委托方名称：</w:t>
            </w:r>
          </w:p>
        </w:tc>
        <w:tc>
          <w:tcPr>
            <w:tcW w:w="4535" w:type="dxa"/>
          </w:tcPr>
          <w:p w14:paraId="36D2FAF1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委托方地址：</w:t>
            </w:r>
          </w:p>
        </w:tc>
      </w:tr>
      <w:tr w14:paraId="11E04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35" w:type="dxa"/>
          </w:tcPr>
          <w:p w14:paraId="767030E7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校准地址：</w:t>
            </w:r>
          </w:p>
        </w:tc>
        <w:tc>
          <w:tcPr>
            <w:tcW w:w="4535" w:type="dxa"/>
          </w:tcPr>
          <w:p w14:paraId="2EE0810F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仪器名称：</w:t>
            </w:r>
          </w:p>
        </w:tc>
      </w:tr>
      <w:tr w14:paraId="5F52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35" w:type="dxa"/>
          </w:tcPr>
          <w:p w14:paraId="622FE541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仪器型号：</w:t>
            </w:r>
          </w:p>
        </w:tc>
        <w:tc>
          <w:tcPr>
            <w:tcW w:w="4535" w:type="dxa"/>
          </w:tcPr>
          <w:p w14:paraId="286E072C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仪器编号：</w:t>
            </w:r>
          </w:p>
        </w:tc>
      </w:tr>
      <w:tr w14:paraId="37BC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35" w:type="dxa"/>
          </w:tcPr>
          <w:p w14:paraId="55A6E25E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生产厂家：</w:t>
            </w:r>
          </w:p>
        </w:tc>
        <w:tc>
          <w:tcPr>
            <w:tcW w:w="4535" w:type="dxa"/>
          </w:tcPr>
          <w:p w14:paraId="4641F700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测量范围：</w:t>
            </w:r>
          </w:p>
        </w:tc>
      </w:tr>
      <w:tr w14:paraId="2996C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535" w:type="dxa"/>
          </w:tcPr>
          <w:p w14:paraId="2FCDA3DB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送校日期：</w:t>
            </w:r>
            <w:r>
              <w:rPr>
                <w:rFonts w:hint="eastAsia" w:ascii="宋体" w:hAnsi="宋体" w:cs="宋体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hint="eastAsia" w:ascii="宋体" w:hAnsi="宋体" w:cs="宋体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hint="eastAsia" w:ascii="宋体" w:hAnsi="宋体" w:cs="宋体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</w:rPr>
              <w:t>日</w:t>
            </w:r>
          </w:p>
        </w:tc>
        <w:tc>
          <w:tcPr>
            <w:tcW w:w="4535" w:type="dxa"/>
          </w:tcPr>
          <w:p w14:paraId="7599EE8E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校准日期：</w:t>
            </w:r>
            <w:r>
              <w:rPr>
                <w:rFonts w:hint="eastAsia" w:ascii="宋体" w:hAnsi="宋体" w:cs="宋体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hint="eastAsia" w:ascii="宋体" w:hAnsi="宋体" w:cs="宋体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hint="eastAsia" w:ascii="宋体" w:hAnsi="宋体" w:cs="宋体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</w:tbl>
    <w:p w14:paraId="62F1D3A8">
      <w:pPr>
        <w:spacing w:line="360" w:lineRule="auto"/>
        <w:rPr>
          <w:rFonts w:ascii="宋体" w:hAnsi="宋体" w:cs="宋体"/>
        </w:rPr>
      </w:pPr>
    </w:p>
    <w:p w14:paraId="547D79F0">
      <w:pPr>
        <w:numPr>
          <w:ilvl w:val="0"/>
          <w:numId w:val="2"/>
        </w:num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校准信息</w:t>
      </w:r>
    </w:p>
    <w:tbl>
      <w:tblPr>
        <w:tblStyle w:val="17"/>
        <w:tblpPr w:leftFromText="180" w:rightFromText="180" w:vertAnchor="text" w:horzAnchor="page" w:tblpXSpec="center" w:tblpY="18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2238"/>
        <w:gridCol w:w="2833"/>
      </w:tblGrid>
      <w:tr w14:paraId="5BB3E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69" w:type="dxa"/>
          </w:tcPr>
          <w:p w14:paraId="16394012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校准证书编号：</w:t>
            </w:r>
          </w:p>
        </w:tc>
        <w:tc>
          <w:tcPr>
            <w:tcW w:w="5071" w:type="dxa"/>
            <w:gridSpan w:val="2"/>
          </w:tcPr>
          <w:p w14:paraId="332FDAE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校准依据：</w:t>
            </w:r>
          </w:p>
        </w:tc>
      </w:tr>
      <w:tr w14:paraId="5AFBC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69" w:type="dxa"/>
          </w:tcPr>
          <w:p w14:paraId="4E989FD0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外观检查：</w:t>
            </w:r>
          </w:p>
        </w:tc>
        <w:tc>
          <w:tcPr>
            <w:tcW w:w="2238" w:type="dxa"/>
          </w:tcPr>
          <w:p w14:paraId="2C213BE9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环境温度：</w:t>
            </w:r>
            <w:r>
              <w:rPr>
                <w:rFonts w:hint="eastAsia" w:ascii="宋体" w:hAnsi="宋体" w:cs="宋体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</w:rPr>
              <w:t>℃</w:t>
            </w:r>
          </w:p>
        </w:tc>
        <w:tc>
          <w:tcPr>
            <w:tcW w:w="2833" w:type="dxa"/>
          </w:tcPr>
          <w:p w14:paraId="5EBF0C2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环境相对湿度：</w:t>
            </w:r>
            <w:r>
              <w:rPr>
                <w:rFonts w:hint="eastAsia" w:ascii="宋体" w:hAnsi="宋体" w:cs="宋体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</w:rPr>
              <w:t xml:space="preserve"> % </w:t>
            </w:r>
          </w:p>
        </w:tc>
      </w:tr>
    </w:tbl>
    <w:p w14:paraId="2D857694">
      <w:pPr>
        <w:spacing w:line="360" w:lineRule="auto"/>
        <w:rPr>
          <w:rFonts w:ascii="宋体" w:hAnsi="宋体" w:cs="宋体"/>
        </w:rPr>
      </w:pPr>
    </w:p>
    <w:p w14:paraId="240F372B">
      <w:pPr>
        <w:numPr>
          <w:ilvl w:val="0"/>
          <w:numId w:val="3"/>
        </w:num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标准物质/标准器信息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137"/>
        <w:gridCol w:w="1150"/>
        <w:gridCol w:w="2430"/>
        <w:gridCol w:w="1258"/>
        <w:gridCol w:w="1133"/>
      </w:tblGrid>
      <w:tr w14:paraId="41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22" w:type="dxa"/>
            <w:vAlign w:val="center"/>
          </w:tcPr>
          <w:p w14:paraId="1BF2EF4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有证标准物质名称</w:t>
            </w:r>
          </w:p>
        </w:tc>
        <w:tc>
          <w:tcPr>
            <w:tcW w:w="1137" w:type="dxa"/>
            <w:vAlign w:val="center"/>
          </w:tcPr>
          <w:p w14:paraId="1AE136A3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型号规格</w:t>
            </w:r>
          </w:p>
        </w:tc>
        <w:tc>
          <w:tcPr>
            <w:tcW w:w="1150" w:type="dxa"/>
            <w:vAlign w:val="center"/>
          </w:tcPr>
          <w:p w14:paraId="4C32F09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出厂编号</w:t>
            </w:r>
          </w:p>
        </w:tc>
        <w:tc>
          <w:tcPr>
            <w:tcW w:w="2430" w:type="dxa"/>
            <w:vAlign w:val="center"/>
          </w:tcPr>
          <w:p w14:paraId="72F865E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不确定度/准确度等级</w:t>
            </w:r>
          </w:p>
        </w:tc>
        <w:tc>
          <w:tcPr>
            <w:tcW w:w="1258" w:type="dxa"/>
            <w:vAlign w:val="center"/>
          </w:tcPr>
          <w:p w14:paraId="3CB4325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证书编号</w:t>
            </w:r>
          </w:p>
        </w:tc>
        <w:tc>
          <w:tcPr>
            <w:tcW w:w="1133" w:type="dxa"/>
            <w:vAlign w:val="center"/>
          </w:tcPr>
          <w:p w14:paraId="1D4AB13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有效日期</w:t>
            </w:r>
          </w:p>
        </w:tc>
      </w:tr>
      <w:tr w14:paraId="36506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22" w:type="dxa"/>
          </w:tcPr>
          <w:p w14:paraId="21DF14E3">
            <w:pPr>
              <w:rPr>
                <w:rFonts w:ascii="宋体" w:hAnsi="宋体" w:cs="宋体"/>
              </w:rPr>
            </w:pPr>
          </w:p>
        </w:tc>
        <w:tc>
          <w:tcPr>
            <w:tcW w:w="1137" w:type="dxa"/>
          </w:tcPr>
          <w:p w14:paraId="13FC4EC2">
            <w:pPr>
              <w:rPr>
                <w:rFonts w:ascii="宋体" w:hAnsi="宋体" w:cs="宋体"/>
              </w:rPr>
            </w:pPr>
          </w:p>
        </w:tc>
        <w:tc>
          <w:tcPr>
            <w:tcW w:w="1150" w:type="dxa"/>
          </w:tcPr>
          <w:p w14:paraId="13ED3CB3">
            <w:pPr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 w14:paraId="610699E6">
            <w:pPr>
              <w:rPr>
                <w:rFonts w:ascii="宋体" w:hAnsi="宋体" w:cs="宋体"/>
              </w:rPr>
            </w:pPr>
          </w:p>
        </w:tc>
        <w:tc>
          <w:tcPr>
            <w:tcW w:w="1258" w:type="dxa"/>
          </w:tcPr>
          <w:p w14:paraId="09CC3CC6">
            <w:pPr>
              <w:rPr>
                <w:rFonts w:ascii="宋体" w:hAnsi="宋体" w:cs="宋体"/>
              </w:rPr>
            </w:pPr>
          </w:p>
        </w:tc>
        <w:tc>
          <w:tcPr>
            <w:tcW w:w="1133" w:type="dxa"/>
          </w:tcPr>
          <w:p w14:paraId="24070A18">
            <w:pPr>
              <w:rPr>
                <w:rFonts w:ascii="宋体" w:hAnsi="宋体" w:cs="宋体"/>
              </w:rPr>
            </w:pPr>
          </w:p>
        </w:tc>
      </w:tr>
      <w:tr w14:paraId="59ED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22" w:type="dxa"/>
          </w:tcPr>
          <w:p w14:paraId="450E9C8D">
            <w:pPr>
              <w:rPr>
                <w:rFonts w:ascii="宋体" w:hAnsi="宋体" w:cs="宋体"/>
              </w:rPr>
            </w:pPr>
          </w:p>
        </w:tc>
        <w:tc>
          <w:tcPr>
            <w:tcW w:w="1137" w:type="dxa"/>
          </w:tcPr>
          <w:p w14:paraId="7C8A2035">
            <w:pPr>
              <w:rPr>
                <w:rFonts w:ascii="宋体" w:hAnsi="宋体" w:cs="宋体"/>
              </w:rPr>
            </w:pPr>
          </w:p>
        </w:tc>
        <w:tc>
          <w:tcPr>
            <w:tcW w:w="1150" w:type="dxa"/>
          </w:tcPr>
          <w:p w14:paraId="5B9A8E78">
            <w:pPr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 w14:paraId="58409435">
            <w:pPr>
              <w:rPr>
                <w:rFonts w:ascii="宋体" w:hAnsi="宋体" w:cs="宋体"/>
              </w:rPr>
            </w:pPr>
          </w:p>
        </w:tc>
        <w:tc>
          <w:tcPr>
            <w:tcW w:w="1258" w:type="dxa"/>
          </w:tcPr>
          <w:p w14:paraId="4A5B8613">
            <w:pPr>
              <w:rPr>
                <w:rFonts w:ascii="宋体" w:hAnsi="宋体" w:cs="宋体"/>
              </w:rPr>
            </w:pPr>
          </w:p>
        </w:tc>
        <w:tc>
          <w:tcPr>
            <w:tcW w:w="1133" w:type="dxa"/>
          </w:tcPr>
          <w:p w14:paraId="599C89CE">
            <w:pPr>
              <w:rPr>
                <w:rFonts w:ascii="宋体" w:hAnsi="宋体" w:cs="宋体"/>
              </w:rPr>
            </w:pPr>
          </w:p>
        </w:tc>
      </w:tr>
      <w:tr w14:paraId="6702D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22" w:type="dxa"/>
          </w:tcPr>
          <w:p w14:paraId="305C875E">
            <w:pPr>
              <w:rPr>
                <w:rFonts w:ascii="宋体" w:hAnsi="宋体" w:cs="宋体"/>
              </w:rPr>
            </w:pPr>
          </w:p>
        </w:tc>
        <w:tc>
          <w:tcPr>
            <w:tcW w:w="1137" w:type="dxa"/>
          </w:tcPr>
          <w:p w14:paraId="62D33772">
            <w:pPr>
              <w:rPr>
                <w:rFonts w:ascii="宋体" w:hAnsi="宋体" w:cs="宋体"/>
              </w:rPr>
            </w:pPr>
          </w:p>
        </w:tc>
        <w:tc>
          <w:tcPr>
            <w:tcW w:w="1150" w:type="dxa"/>
          </w:tcPr>
          <w:p w14:paraId="149CDE24">
            <w:pPr>
              <w:rPr>
                <w:rFonts w:ascii="宋体" w:hAnsi="宋体" w:cs="宋体"/>
              </w:rPr>
            </w:pPr>
          </w:p>
        </w:tc>
        <w:tc>
          <w:tcPr>
            <w:tcW w:w="2430" w:type="dxa"/>
          </w:tcPr>
          <w:p w14:paraId="37F146FF">
            <w:pPr>
              <w:rPr>
                <w:rFonts w:ascii="宋体" w:hAnsi="宋体" w:cs="宋体"/>
              </w:rPr>
            </w:pPr>
          </w:p>
        </w:tc>
        <w:tc>
          <w:tcPr>
            <w:tcW w:w="1258" w:type="dxa"/>
          </w:tcPr>
          <w:p w14:paraId="3C2F532E">
            <w:pPr>
              <w:rPr>
                <w:rFonts w:ascii="宋体" w:hAnsi="宋体" w:cs="宋体"/>
              </w:rPr>
            </w:pPr>
          </w:p>
        </w:tc>
        <w:tc>
          <w:tcPr>
            <w:tcW w:w="1133" w:type="dxa"/>
          </w:tcPr>
          <w:p w14:paraId="0088699A">
            <w:pPr>
              <w:rPr>
                <w:rFonts w:ascii="宋体" w:hAnsi="宋体" w:cs="宋体"/>
              </w:rPr>
            </w:pPr>
          </w:p>
        </w:tc>
      </w:tr>
    </w:tbl>
    <w:p w14:paraId="334CAB62">
      <w:pPr>
        <w:spacing w:line="360" w:lineRule="auto"/>
        <w:rPr>
          <w:rFonts w:ascii="宋体" w:hAnsi="宋体" w:cs="宋体"/>
        </w:rPr>
      </w:pPr>
    </w:p>
    <w:p w14:paraId="255E85D3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结合能</w:t>
      </w:r>
      <w:r>
        <w:rPr>
          <w:rFonts w:hint="eastAsia" w:ascii="宋体" w:hAnsi="宋体" w:cs="宋体"/>
        </w:rPr>
        <w:t>测量重复性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示值误差及扩展不确定度</w:t>
      </w:r>
      <w:r>
        <w:rPr>
          <w:rFonts w:hint="eastAsia"/>
          <w:lang w:val="en-US" w:eastAsia="zh-CN"/>
        </w:rPr>
        <w:t>结果见表1。</w:t>
      </w:r>
    </w:p>
    <w:p w14:paraId="68E2F46C">
      <w:pPr>
        <w:spacing w:line="360" w:lineRule="auto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表1 结合能测量重复性、示值误差及扩展不确定度</w:t>
      </w:r>
    </w:p>
    <w:tbl>
      <w:tblPr>
        <w:tblStyle w:val="16"/>
        <w:tblW w:w="68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808"/>
        <w:gridCol w:w="1017"/>
        <w:gridCol w:w="1017"/>
        <w:gridCol w:w="1017"/>
        <w:gridCol w:w="1017"/>
      </w:tblGrid>
      <w:tr w14:paraId="7ABD9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0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峰位结合能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2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5F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E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C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 1s</w:t>
            </w:r>
          </w:p>
        </w:tc>
      </w:tr>
      <w:tr w14:paraId="5A539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F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  <w:r>
              <w:rPr>
                <w:rStyle w:val="54"/>
                <w:rFonts w:eastAsia="宋体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C4A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725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3DC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5F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105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9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测量值</w:t>
            </w:r>
            <w:r>
              <w:rPr>
                <w:rStyle w:val="54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54"/>
                <w:rFonts w:eastAsia="宋体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2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201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0AD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D3F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6E3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DE5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55C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64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DD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BE0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69D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2E6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98E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7AB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4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44B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1DE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5AC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7FA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B23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FD2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39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23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710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397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868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C3C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20C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F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356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B51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00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965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1AE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2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测量平均值</w:t>
            </w:r>
            <w:r>
              <w:rPr>
                <w:rStyle w:val="54"/>
                <w:rFonts w:eastAsia="宋体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161C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C30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3F6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0BC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92F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测量重复性</w:t>
            </w:r>
            <w:r>
              <w:rPr>
                <w:rStyle w:val="54"/>
                <w:rFonts w:eastAsia="宋体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4FA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B2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DB2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536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278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BF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示值误差</w:t>
            </w:r>
            <w:r>
              <w:rPr>
                <w:rStyle w:val="54"/>
                <w:rFonts w:eastAsia="宋体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1F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9C6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4D9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E9C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2C5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5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扩展不确定度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</w:t>
            </w:r>
            <w:r>
              <w:rPr>
                <w:rStyle w:val="54"/>
                <w:rFonts w:eastAsia="宋体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</w:t>
            </w:r>
            <w:r>
              <w:rPr>
                <w:rStyle w:val="54"/>
                <w:rFonts w:eastAsia="宋体"/>
                <w:lang w:val="en-US" w:eastAsia="zh-CN" w:bidi="ar"/>
              </w:rPr>
              <w:t>=2)/eV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165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97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065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69B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61481D1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峰值强度测量重复性见表2。</w:t>
      </w:r>
    </w:p>
    <w:p w14:paraId="29224473">
      <w:pPr>
        <w:spacing w:line="360" w:lineRule="auto"/>
        <w:jc w:val="center"/>
        <w:rPr>
          <w:rFonts w:hint="eastAsia" w:ascii="宋体" w:hAnsi="宋体" w:cs="宋体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表</w:t>
      </w:r>
      <w:r>
        <w:rPr>
          <w:rFonts w:hint="eastAsia" w:cs="Times New Roman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峰值强度测量重复性</w:t>
      </w:r>
    </w:p>
    <w:tbl>
      <w:tblPr>
        <w:tblStyle w:val="16"/>
        <w:tblW w:w="66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766"/>
        <w:gridCol w:w="766"/>
        <w:gridCol w:w="766"/>
        <w:gridCol w:w="766"/>
        <w:gridCol w:w="766"/>
        <w:gridCol w:w="1441"/>
      </w:tblGrid>
      <w:tr w14:paraId="5B8B3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0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3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0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测量值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/CPS</w:t>
            </w:r>
          </w:p>
        </w:tc>
        <w:tc>
          <w:tcPr>
            <w:tcW w:w="14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E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测量重复性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/%</w:t>
            </w:r>
          </w:p>
        </w:tc>
      </w:tr>
      <w:tr w14:paraId="0F708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E3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7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1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7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9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16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ABD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2D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峰值强度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E1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30F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2A3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35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F9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256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4396BA1">
      <w:pPr>
        <w:spacing w:line="360" w:lineRule="auto"/>
        <w:rPr>
          <w:rFonts w:ascii="宋体" w:hAnsi="宋体" w:cs="宋体"/>
        </w:rPr>
      </w:pPr>
    </w:p>
    <w:p w14:paraId="507ADA00">
      <w:pPr>
        <w:ind w:firstLine="420" w:firstLineChars="200"/>
        <w:rPr>
          <w:rFonts w:ascii="宋体" w:hAnsi="宋体" w:cs="宋体"/>
        </w:rPr>
      </w:pPr>
    </w:p>
    <w:p w14:paraId="6424E602">
      <w:pPr>
        <w:ind w:firstLine="420" w:firstLineChars="200"/>
        <w:rPr>
          <w:rFonts w:ascii="宋体" w:hAnsi="宋体" w:cs="宋体"/>
        </w:rPr>
      </w:pPr>
    </w:p>
    <w:p w14:paraId="3F9F63BA">
      <w:pPr>
        <w:ind w:firstLine="420" w:firstLineChars="200"/>
        <w:rPr>
          <w:rFonts w:ascii="宋体" w:hAnsi="宋体" w:cs="宋体"/>
        </w:rPr>
      </w:pPr>
    </w:p>
    <w:p w14:paraId="5E54DD38">
      <w:pPr>
        <w:ind w:firstLine="420" w:firstLineChars="200"/>
        <w:rPr>
          <w:rFonts w:ascii="宋体" w:hAnsi="宋体" w:cs="宋体"/>
        </w:rPr>
      </w:pPr>
    </w:p>
    <w:p w14:paraId="62BA91E3">
      <w:pPr>
        <w:ind w:firstLine="420" w:firstLineChars="200"/>
        <w:rPr>
          <w:rFonts w:ascii="宋体" w:hAnsi="宋体" w:cs="宋体"/>
        </w:rPr>
      </w:pPr>
    </w:p>
    <w:p w14:paraId="28629FD7">
      <w:pPr>
        <w:ind w:firstLine="420" w:firstLineChars="200"/>
        <w:rPr>
          <w:rFonts w:ascii="宋体" w:hAnsi="宋体" w:cs="宋体"/>
        </w:rPr>
      </w:pPr>
    </w:p>
    <w:p w14:paraId="13C1C724">
      <w:pPr>
        <w:ind w:firstLine="420" w:firstLineChars="200"/>
        <w:rPr>
          <w:rFonts w:ascii="宋体" w:hAnsi="宋体" w:cs="宋体"/>
        </w:rPr>
      </w:pPr>
    </w:p>
    <w:p w14:paraId="11D10541">
      <w:pPr>
        <w:ind w:firstLine="420" w:firstLineChars="200"/>
        <w:rPr>
          <w:rFonts w:ascii="宋体" w:hAnsi="宋体" w:cs="宋体"/>
        </w:rPr>
      </w:pPr>
    </w:p>
    <w:p w14:paraId="569FF9F7">
      <w:pPr>
        <w:ind w:firstLine="420" w:firstLineChars="200"/>
        <w:rPr>
          <w:rFonts w:ascii="宋体" w:hAnsi="宋体" w:cs="宋体"/>
        </w:rPr>
      </w:pPr>
    </w:p>
    <w:p w14:paraId="2B281E93">
      <w:pPr>
        <w:ind w:firstLine="420" w:firstLineChars="200"/>
        <w:rPr>
          <w:rFonts w:ascii="宋体" w:hAnsi="宋体" w:cs="宋体"/>
        </w:rPr>
      </w:pPr>
    </w:p>
    <w:p w14:paraId="639AF9F1">
      <w:pPr>
        <w:ind w:firstLine="420" w:firstLineChars="200"/>
        <w:rPr>
          <w:rFonts w:ascii="宋体" w:hAnsi="宋体" w:cs="宋体"/>
        </w:rPr>
      </w:pPr>
    </w:p>
    <w:p w14:paraId="22A8477B">
      <w:pPr>
        <w:ind w:firstLine="420" w:firstLineChars="200"/>
        <w:rPr>
          <w:rFonts w:ascii="宋体" w:hAnsi="宋体" w:cs="宋体"/>
        </w:rPr>
      </w:pPr>
    </w:p>
    <w:p w14:paraId="2D2CAFA0">
      <w:pPr>
        <w:ind w:firstLine="420" w:firstLineChars="200"/>
        <w:rPr>
          <w:rFonts w:ascii="宋体" w:hAnsi="宋体" w:cs="宋体"/>
        </w:rPr>
      </w:pPr>
    </w:p>
    <w:p w14:paraId="1C8A43FB">
      <w:pPr>
        <w:ind w:firstLine="420" w:firstLineChars="200"/>
        <w:rPr>
          <w:rFonts w:ascii="宋体" w:hAnsi="宋体" w:cs="宋体"/>
        </w:rPr>
      </w:pPr>
    </w:p>
    <w:p w14:paraId="4DD7F5D7">
      <w:pPr>
        <w:ind w:firstLine="420" w:firstLineChars="200"/>
        <w:rPr>
          <w:rFonts w:ascii="宋体" w:hAnsi="宋体" w:cs="宋体"/>
        </w:rPr>
      </w:pPr>
    </w:p>
    <w:p w14:paraId="5C73E6BC">
      <w:pPr>
        <w:ind w:firstLine="420" w:firstLineChars="200"/>
        <w:rPr>
          <w:rFonts w:ascii="宋体" w:hAnsi="宋体" w:cs="宋体"/>
        </w:rPr>
      </w:pPr>
    </w:p>
    <w:p w14:paraId="4E1EF42B">
      <w:pPr>
        <w:ind w:firstLine="420" w:firstLineChars="200"/>
        <w:rPr>
          <w:rFonts w:ascii="宋体" w:hAnsi="宋体" w:cs="宋体"/>
        </w:rPr>
      </w:pPr>
    </w:p>
    <w:p w14:paraId="79778E62">
      <w:pPr>
        <w:ind w:firstLine="420" w:firstLineChars="200"/>
        <w:rPr>
          <w:rFonts w:ascii="宋体" w:hAnsi="宋体" w:cs="宋体"/>
        </w:rPr>
      </w:pPr>
    </w:p>
    <w:p w14:paraId="16C61CBE">
      <w:pPr>
        <w:ind w:firstLine="420" w:firstLineChars="200"/>
        <w:rPr>
          <w:rFonts w:ascii="宋体" w:hAnsi="宋体" w:cs="宋体"/>
        </w:rPr>
      </w:pPr>
    </w:p>
    <w:p w14:paraId="31735987">
      <w:pPr>
        <w:ind w:firstLine="420" w:firstLineChars="200"/>
        <w:rPr>
          <w:rFonts w:ascii="宋体" w:hAnsi="宋体" w:cs="宋体"/>
        </w:rPr>
      </w:pPr>
    </w:p>
    <w:p w14:paraId="6D7D547C">
      <w:pPr>
        <w:ind w:firstLine="420" w:firstLineChars="200"/>
        <w:rPr>
          <w:rFonts w:ascii="宋体" w:hAnsi="宋体" w:cs="宋体"/>
        </w:rPr>
      </w:pPr>
    </w:p>
    <w:p w14:paraId="53E2D9AC">
      <w:pPr>
        <w:ind w:firstLine="420" w:firstLineChars="200"/>
        <w:rPr>
          <w:rFonts w:ascii="宋体" w:hAnsi="宋体" w:cs="宋体"/>
        </w:rPr>
      </w:pPr>
    </w:p>
    <w:p w14:paraId="68505C08">
      <w:pPr>
        <w:ind w:firstLine="420" w:firstLineChars="200"/>
        <w:rPr>
          <w:rFonts w:ascii="宋体" w:hAnsi="宋体" w:cs="宋体"/>
        </w:rPr>
      </w:pPr>
    </w:p>
    <w:p w14:paraId="63161133">
      <w:pPr>
        <w:ind w:firstLine="420" w:firstLineChars="200"/>
        <w:rPr>
          <w:rFonts w:ascii="宋体" w:hAnsi="宋体" w:cs="宋体"/>
        </w:rPr>
      </w:pPr>
    </w:p>
    <w:p w14:paraId="26BFBA95">
      <w:pPr>
        <w:ind w:firstLine="420" w:firstLineChars="200"/>
        <w:rPr>
          <w:rFonts w:ascii="宋体" w:hAnsi="宋体" w:cs="宋体"/>
        </w:rPr>
      </w:pPr>
    </w:p>
    <w:p w14:paraId="168D832D">
      <w:pPr>
        <w:ind w:firstLine="420" w:firstLineChars="200"/>
        <w:rPr>
          <w:rFonts w:ascii="宋体" w:hAnsi="宋体" w:cs="宋体"/>
        </w:rPr>
      </w:pPr>
    </w:p>
    <w:p w14:paraId="0744B06F">
      <w:pPr>
        <w:ind w:firstLine="420" w:firstLineChars="200"/>
        <w:rPr>
          <w:rFonts w:ascii="宋体" w:hAnsi="宋体" w:cs="宋体"/>
        </w:rPr>
      </w:pPr>
    </w:p>
    <w:p w14:paraId="51E9B110">
      <w:pPr>
        <w:ind w:firstLine="420" w:firstLineChars="200"/>
        <w:rPr>
          <w:rFonts w:ascii="宋体" w:hAnsi="宋体" w:cs="宋体"/>
        </w:rPr>
      </w:pPr>
    </w:p>
    <w:p w14:paraId="7576EAC8">
      <w:pPr>
        <w:ind w:firstLine="420" w:firstLineChars="200"/>
        <w:rPr>
          <w:rFonts w:ascii="宋体" w:hAnsi="宋体" w:cs="宋体"/>
        </w:rPr>
      </w:pPr>
    </w:p>
    <w:p w14:paraId="0DA34D68">
      <w:pPr>
        <w:ind w:firstLine="420" w:firstLineChars="200"/>
        <w:rPr>
          <w:rFonts w:ascii="宋体" w:hAnsi="宋体" w:cs="宋体"/>
        </w:rPr>
      </w:pPr>
    </w:p>
    <w:p w14:paraId="66FEFD9B">
      <w:pPr>
        <w:ind w:firstLine="420" w:firstLineChars="200"/>
        <w:rPr>
          <w:rFonts w:ascii="宋体" w:hAnsi="宋体" w:cs="宋体"/>
        </w:rPr>
      </w:pPr>
    </w:p>
    <w:p w14:paraId="7A3B05B5">
      <w:pPr>
        <w:ind w:firstLine="420" w:firstLineChars="200"/>
        <w:rPr>
          <w:rFonts w:ascii="宋体" w:hAnsi="宋体" w:cs="宋体"/>
        </w:rPr>
      </w:pPr>
    </w:p>
    <w:p w14:paraId="194111D5">
      <w:pPr>
        <w:ind w:firstLine="420" w:firstLineChars="2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宋体" w:hAnsi="宋体" w:cs="宋体"/>
        </w:rPr>
        <w:t>校准：</w:t>
      </w:r>
      <w:r>
        <w:rPr>
          <w:rFonts w:hint="eastAsia" w:ascii="宋体" w:hAnsi="宋体" w:cs="宋体"/>
          <w:u w:val="single"/>
        </w:rPr>
        <w:t xml:space="preserve">                            </w:t>
      </w:r>
      <w:r>
        <w:rPr>
          <w:rFonts w:hint="eastAsia" w:ascii="宋体" w:hAnsi="宋体" w:cs="宋体"/>
        </w:rPr>
        <w:t xml:space="preserve">   核验：</w:t>
      </w:r>
      <w:r>
        <w:rPr>
          <w:rFonts w:hint="eastAsia" w:ascii="宋体" w:hAnsi="宋体" w:cs="宋体"/>
          <w:u w:val="single"/>
        </w:rPr>
        <w:t xml:space="preserve">                          </w:t>
      </w:r>
    </w:p>
    <w:p w14:paraId="5D8F8A76">
      <w:pPr>
        <w:autoSpaceDE w:val="0"/>
        <w:autoSpaceDN w:val="0"/>
        <w:adjustRightInd w:val="0"/>
        <w:spacing w:before="156" w:beforeLines="50" w:after="156" w:afterLines="50" w:line="360" w:lineRule="auto"/>
        <w:rPr>
          <w:rStyle w:val="22"/>
          <w:rFonts w:ascii="黑体" w:hAnsi="黑体" w:eastAsia="黑体"/>
          <w:sz w:val="28"/>
          <w:szCs w:val="28"/>
        </w:rPr>
        <w:sectPr>
          <w:footerReference r:id="rId11" w:type="default"/>
          <w:pgSz w:w="11906" w:h="16838"/>
          <w:pgMar w:top="1264" w:right="1418" w:bottom="1418" w:left="1418" w:header="851" w:footer="992" w:gutter="0"/>
          <w:cols w:space="720" w:num="1"/>
          <w:docGrid w:type="lines" w:linePitch="312" w:charSpace="0"/>
        </w:sectPr>
      </w:pPr>
    </w:p>
    <w:p w14:paraId="3E586052">
      <w:pPr>
        <w:autoSpaceDE w:val="0"/>
        <w:autoSpaceDN w:val="0"/>
        <w:adjustRightInd w:val="0"/>
        <w:spacing w:before="156" w:beforeLines="50" w:after="156" w:afterLines="50" w:line="360" w:lineRule="auto"/>
        <w:rPr>
          <w:rFonts w:ascii="黑体" w:hAnsi="黑体" w:eastAsia="黑体"/>
          <w:b/>
          <w:kern w:val="0"/>
          <w:sz w:val="28"/>
          <w:szCs w:val="28"/>
        </w:rPr>
      </w:pPr>
      <w:bookmarkStart w:id="69" w:name="_Toc1892"/>
      <w:r>
        <w:rPr>
          <w:rStyle w:val="22"/>
          <w:rFonts w:hint="eastAsia" w:ascii="黑体" w:hAnsi="黑体" w:eastAsia="黑体"/>
          <w:sz w:val="28"/>
          <w:szCs w:val="28"/>
        </w:rPr>
        <w:t>附录</w:t>
      </w:r>
      <w:bookmarkEnd w:id="69"/>
      <w:r>
        <w:rPr>
          <w:rStyle w:val="22"/>
          <w:rFonts w:hint="eastAsia" w:ascii="黑体" w:hAnsi="黑体" w:eastAsia="黑体"/>
          <w:sz w:val="28"/>
          <w:szCs w:val="28"/>
          <w:lang w:val="en-US" w:eastAsia="zh-CN"/>
        </w:rPr>
        <w:t>C</w:t>
      </w:r>
      <w:r>
        <w:rPr>
          <w:rFonts w:hint="eastAsia" w:ascii="黑体" w:hAnsi="黑体" w:eastAsia="黑体"/>
          <w:b/>
          <w:kern w:val="0"/>
          <w:sz w:val="28"/>
          <w:szCs w:val="28"/>
        </w:rPr>
        <w:t>：</w:t>
      </w:r>
    </w:p>
    <w:p w14:paraId="5E4F142C">
      <w:pPr>
        <w:pStyle w:val="2"/>
        <w:ind w:firstLine="0" w:firstLineChars="0"/>
        <w:jc w:val="center"/>
        <w:rPr>
          <w:rFonts w:ascii="黑体" w:hAnsi="黑体" w:eastAsia="黑体" w:cs="黑体"/>
          <w:sz w:val="28"/>
          <w:szCs w:val="28"/>
        </w:rPr>
      </w:pPr>
      <w:bookmarkStart w:id="70" w:name="_Toc31223"/>
      <w:bookmarkStart w:id="71" w:name="_Toc19328"/>
      <w:bookmarkStart w:id="72" w:name="_Toc22950"/>
      <w:r>
        <w:rPr>
          <w:rFonts w:hint="eastAsia" w:ascii="黑体" w:hAnsi="黑体" w:eastAsia="黑体" w:cs="黑体"/>
          <w:sz w:val="28"/>
          <w:szCs w:val="28"/>
        </w:rPr>
        <w:t>校准证书（内页）格式</w:t>
      </w:r>
      <w:bookmarkEnd w:id="70"/>
      <w:bookmarkEnd w:id="71"/>
      <w:bookmarkEnd w:id="72"/>
    </w:p>
    <w:p w14:paraId="0A84DA85">
      <w:pPr>
        <w:spacing w:line="360" w:lineRule="auto"/>
        <w:jc w:val="center"/>
      </w:pPr>
      <w:r>
        <w:rPr>
          <w:rFonts w:hint="eastAsia" w:ascii="宋体" w:hAnsi="宋体" w:cs="宋体"/>
        </w:rPr>
        <w:t>（推荐性表格）</w:t>
      </w:r>
    </w:p>
    <w:p w14:paraId="15823296">
      <w:r>
        <w:t xml:space="preserve">证书编号：                         </w:t>
      </w:r>
      <w:r>
        <w:rPr>
          <w:rFonts w:hint="eastAsia"/>
        </w:rPr>
        <w:t xml:space="preserve">       </w:t>
      </w:r>
      <w:r>
        <w:t xml:space="preserve">                        </w:t>
      </w:r>
      <w:r>
        <w:rPr>
          <w:rFonts w:hint="eastAsia"/>
        </w:rPr>
        <w:t xml:space="preserve">    </w:t>
      </w:r>
      <w:r>
        <w:t xml:space="preserve">    第  页</w:t>
      </w:r>
      <w:r>
        <w:rPr>
          <w:rFonts w:hint="eastAsia"/>
        </w:rPr>
        <w:t>/</w:t>
      </w:r>
      <w:r>
        <w:t>共  页</w:t>
      </w:r>
    </w:p>
    <w:tbl>
      <w:tblPr>
        <w:tblStyle w:val="16"/>
        <w:tblpPr w:leftFromText="180" w:rightFromText="180" w:vertAnchor="text" w:horzAnchor="margin" w:tblpX="138" w:tblpY="187"/>
        <w:tblW w:w="4934" w:type="pct"/>
        <w:tblInd w:w="0" w:type="dxa"/>
        <w:tblBorders>
          <w:top w:val="double" w:color="auto" w:sz="4" w:space="0"/>
          <w:left w:val="single" w:color="auto" w:sz="6" w:space="0"/>
          <w:bottom w:val="double" w:color="auto" w:sz="4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1847"/>
        <w:gridCol w:w="1847"/>
        <w:gridCol w:w="1847"/>
        <w:gridCol w:w="1914"/>
      </w:tblGrid>
      <w:tr w14:paraId="1D8AD110">
        <w:tblPrEx>
          <w:tblBorders>
            <w:top w:val="double" w:color="auto" w:sz="4" w:space="0"/>
            <w:left w:val="single" w:color="auto" w:sz="6" w:space="0"/>
            <w:bottom w:val="doub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000" w:type="pct"/>
            <w:gridSpan w:val="5"/>
          </w:tcPr>
          <w:p w14:paraId="5C56B787">
            <w:r>
              <w:t>校准所依据的技术文件（代号、名称）：</w:t>
            </w:r>
          </w:p>
          <w:p w14:paraId="622D07E4"/>
        </w:tc>
      </w:tr>
      <w:tr w14:paraId="648F7891">
        <w:tblPrEx>
          <w:tblBorders>
            <w:top w:val="double" w:color="auto" w:sz="4" w:space="0"/>
            <w:left w:val="single" w:color="auto" w:sz="6" w:space="0"/>
            <w:bottom w:val="doub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000" w:type="pct"/>
            <w:gridSpan w:val="5"/>
          </w:tcPr>
          <w:p w14:paraId="3221CEB8">
            <w:r>
              <w:t>校准环境条件</w:t>
            </w:r>
          </w:p>
          <w:p w14:paraId="65606B46">
            <w:r>
              <w:t xml:space="preserve">温度：                          </w:t>
            </w:r>
            <w:r>
              <w:rPr>
                <w:rFonts w:hint="eastAsia"/>
              </w:rPr>
              <w:t>相对</w:t>
            </w:r>
            <w:r>
              <w:t>湿度：                        其他：</w:t>
            </w:r>
          </w:p>
        </w:tc>
      </w:tr>
      <w:tr w14:paraId="4726F0E7">
        <w:tblPrEx>
          <w:tblBorders>
            <w:top w:val="double" w:color="auto" w:sz="4" w:space="0"/>
            <w:left w:val="single" w:color="auto" w:sz="6" w:space="0"/>
            <w:bottom w:val="doub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000" w:type="pct"/>
            <w:gridSpan w:val="5"/>
          </w:tcPr>
          <w:p w14:paraId="2061710B">
            <w:pPr>
              <w:spacing w:before="156" w:beforeLines="50" w:after="156" w:afterLines="50"/>
              <w:ind w:right="-105"/>
              <w:rPr>
                <w:spacing w:val="2"/>
              </w:rPr>
            </w:pPr>
            <w:r>
              <w:t>校准所使用的</w:t>
            </w:r>
            <w:r>
              <w:rPr>
                <w:rFonts w:hint="eastAsia"/>
              </w:rPr>
              <w:t>标准器/</w:t>
            </w:r>
            <w:r>
              <w:t>标准物质：</w:t>
            </w:r>
          </w:p>
        </w:tc>
      </w:tr>
      <w:tr w14:paraId="1D4A27AE">
        <w:tblPrEx>
          <w:tblBorders>
            <w:top w:val="double" w:color="auto" w:sz="4" w:space="0"/>
            <w:left w:val="single" w:color="auto" w:sz="6" w:space="0"/>
            <w:bottom w:val="doub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32" w:type="pct"/>
          </w:tcPr>
          <w:p w14:paraId="2A4438B4">
            <w:pPr>
              <w:jc w:val="center"/>
            </w:pPr>
            <w:r>
              <w:t>名称</w:t>
            </w:r>
          </w:p>
        </w:tc>
        <w:tc>
          <w:tcPr>
            <w:tcW w:w="1008" w:type="pct"/>
          </w:tcPr>
          <w:p w14:paraId="1D70125B">
            <w:pPr>
              <w:jc w:val="center"/>
            </w:pPr>
            <w:r>
              <w:t>型号/规格</w:t>
            </w:r>
          </w:p>
        </w:tc>
        <w:tc>
          <w:tcPr>
            <w:tcW w:w="1008" w:type="pct"/>
          </w:tcPr>
          <w:p w14:paraId="68FBA178">
            <w:pPr>
              <w:jc w:val="center"/>
            </w:pPr>
            <w:r>
              <w:t>不确定度</w:t>
            </w:r>
          </w:p>
        </w:tc>
        <w:tc>
          <w:tcPr>
            <w:tcW w:w="1008" w:type="pct"/>
          </w:tcPr>
          <w:p w14:paraId="2DCF7C51">
            <w:pPr>
              <w:jc w:val="center"/>
            </w:pPr>
            <w:r>
              <w:t>证书编号</w:t>
            </w:r>
          </w:p>
        </w:tc>
        <w:tc>
          <w:tcPr>
            <w:tcW w:w="1043" w:type="pct"/>
          </w:tcPr>
          <w:p w14:paraId="2E70E277">
            <w:pPr>
              <w:jc w:val="center"/>
            </w:pPr>
            <w:r>
              <w:t>有效期至</w:t>
            </w:r>
          </w:p>
        </w:tc>
      </w:tr>
      <w:tr w14:paraId="2C8FF79B">
        <w:tblPrEx>
          <w:tblBorders>
            <w:top w:val="double" w:color="auto" w:sz="4" w:space="0"/>
            <w:left w:val="single" w:color="auto" w:sz="6" w:space="0"/>
            <w:bottom w:val="doub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32" w:type="pct"/>
          </w:tcPr>
          <w:p w14:paraId="12525071"/>
        </w:tc>
        <w:tc>
          <w:tcPr>
            <w:tcW w:w="1008" w:type="pct"/>
          </w:tcPr>
          <w:p w14:paraId="1A4C396F"/>
        </w:tc>
        <w:tc>
          <w:tcPr>
            <w:tcW w:w="1008" w:type="pct"/>
          </w:tcPr>
          <w:p w14:paraId="70004908"/>
        </w:tc>
        <w:tc>
          <w:tcPr>
            <w:tcW w:w="1008" w:type="pct"/>
          </w:tcPr>
          <w:p w14:paraId="0E27D103"/>
        </w:tc>
        <w:tc>
          <w:tcPr>
            <w:tcW w:w="1043" w:type="pct"/>
          </w:tcPr>
          <w:p w14:paraId="1371B918"/>
        </w:tc>
      </w:tr>
      <w:tr w14:paraId="721B9F49">
        <w:tblPrEx>
          <w:tblBorders>
            <w:top w:val="double" w:color="auto" w:sz="4" w:space="0"/>
            <w:left w:val="single" w:color="auto" w:sz="6" w:space="0"/>
            <w:bottom w:val="doub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32" w:type="pct"/>
          </w:tcPr>
          <w:p w14:paraId="7398080B"/>
        </w:tc>
        <w:tc>
          <w:tcPr>
            <w:tcW w:w="1008" w:type="pct"/>
          </w:tcPr>
          <w:p w14:paraId="20F5E16D"/>
        </w:tc>
        <w:tc>
          <w:tcPr>
            <w:tcW w:w="1008" w:type="pct"/>
          </w:tcPr>
          <w:p w14:paraId="71EDDCF5"/>
        </w:tc>
        <w:tc>
          <w:tcPr>
            <w:tcW w:w="1008" w:type="pct"/>
          </w:tcPr>
          <w:p w14:paraId="4932DCAC"/>
        </w:tc>
        <w:tc>
          <w:tcPr>
            <w:tcW w:w="1043" w:type="pct"/>
          </w:tcPr>
          <w:p w14:paraId="2A6EC6E9"/>
        </w:tc>
      </w:tr>
      <w:tr w14:paraId="31AD9527">
        <w:tblPrEx>
          <w:tblBorders>
            <w:top w:val="double" w:color="auto" w:sz="4" w:space="0"/>
            <w:left w:val="single" w:color="auto" w:sz="6" w:space="0"/>
            <w:bottom w:val="double" w:color="auto" w:sz="4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9" w:hRule="atLeast"/>
        </w:trPr>
        <w:tc>
          <w:tcPr>
            <w:tcW w:w="5000" w:type="pct"/>
            <w:gridSpan w:val="5"/>
          </w:tcPr>
          <w:p w14:paraId="305C1E32">
            <w:pPr>
              <w:spacing w:line="312" w:lineRule="auto"/>
              <w:jc w:val="center"/>
            </w:pPr>
            <w:r>
              <w:t>校准结果</w:t>
            </w:r>
          </w:p>
          <w:p w14:paraId="002755CB"/>
          <w:p w14:paraId="27269522">
            <w:pPr>
              <w:numPr>
                <w:ilvl w:val="0"/>
                <w:numId w:val="0"/>
              </w:numPr>
              <w:spacing w:line="36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1、结合能</w:t>
            </w:r>
            <w:r>
              <w:rPr>
                <w:rFonts w:hint="eastAsia" w:ascii="宋体" w:hAnsi="宋体" w:cs="宋体"/>
              </w:rPr>
              <w:t>测量重复性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示值误差及扩展不确定度</w:t>
            </w:r>
            <w:r>
              <w:rPr>
                <w:rFonts w:hint="eastAsia"/>
                <w:lang w:val="en-US" w:eastAsia="zh-CN"/>
              </w:rPr>
              <w:t>结果见表1。</w:t>
            </w:r>
          </w:p>
          <w:p w14:paraId="5017D24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表1 </w:t>
            </w:r>
            <w:r>
              <w:rPr>
                <w:rFonts w:hint="eastAsia" w:ascii="宋体" w:hAnsi="宋体" w:cs="宋体"/>
                <w:lang w:val="en-US" w:eastAsia="zh-CN"/>
              </w:rPr>
              <w:t>结合能</w:t>
            </w:r>
            <w:r>
              <w:rPr>
                <w:rFonts w:hint="eastAsia" w:ascii="宋体" w:hAnsi="宋体" w:cs="宋体"/>
              </w:rPr>
              <w:t>测量重复性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示值误差及扩展不确定度</w:t>
            </w:r>
          </w:p>
          <w:tbl>
            <w:tblPr>
              <w:tblStyle w:val="16"/>
              <w:tblW w:w="0" w:type="auto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13"/>
              <w:gridCol w:w="1001"/>
              <w:gridCol w:w="1001"/>
              <w:gridCol w:w="1001"/>
              <w:gridCol w:w="1002"/>
            </w:tblGrid>
            <w:tr w14:paraId="6BB2851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6" w:hRule="atLeast"/>
                <w:jc w:val="center"/>
              </w:trPr>
              <w:tc>
                <w:tcPr>
                  <w:tcW w:w="3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0118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峰位</w:t>
                  </w: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结合能</w:t>
                  </w: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BCA8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Au 4f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vertAlign w:val="subscript"/>
                      <w:lang w:val="en-US" w:eastAsia="zh-CN" w:bidi="ar"/>
                    </w:rPr>
                    <w:t>7/2</w:t>
                  </w: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5B22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Cu 2p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vertAlign w:val="subscript"/>
                      <w:lang w:val="en-US" w:eastAsia="zh-CN" w:bidi="ar"/>
                    </w:rPr>
                    <w:t>3/2</w:t>
                  </w: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154B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Ag 3d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vertAlign w:val="subscript"/>
                      <w:lang w:val="en-US" w:eastAsia="zh-CN" w:bidi="ar"/>
                    </w:rPr>
                    <w:t>5/2</w:t>
                  </w:r>
                </w:p>
              </w:tc>
              <w:tc>
                <w:tcPr>
                  <w:tcW w:w="10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E6D4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C 1s</w:t>
                  </w:r>
                </w:p>
              </w:tc>
            </w:tr>
            <w:tr w14:paraId="486703F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8" w:hRule="atLeast"/>
                <w:jc w:val="center"/>
              </w:trPr>
              <w:tc>
                <w:tcPr>
                  <w:tcW w:w="3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E5C9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标准值</w:t>
                  </w:r>
                  <w:r>
                    <w:rPr>
                      <w:rFonts w:hint="default" w:ascii="Times New Roman" w:hAnsi="Times New Roman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/eV</w:t>
                  </w: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0DB1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5C66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6F69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445EF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</w:tr>
            <w:tr w14:paraId="733840B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8" w:hRule="atLeast"/>
                <w:jc w:val="center"/>
              </w:trPr>
              <w:tc>
                <w:tcPr>
                  <w:tcW w:w="3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63B7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测量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平均值</w:t>
                  </w:r>
                  <w:r>
                    <w:rPr>
                      <w:rStyle w:val="53"/>
                      <w:rFonts w:eastAsia="宋体"/>
                      <w:sz w:val="21"/>
                      <w:szCs w:val="21"/>
                      <w:lang w:val="en-US" w:eastAsia="zh-CN" w:bidi="ar"/>
                    </w:rPr>
                    <w:t>/eV</w:t>
                  </w: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C0EC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0B4A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BC0DE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10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047A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</w:tr>
            <w:tr w14:paraId="24404A7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8" w:hRule="atLeast"/>
                <w:jc w:val="center"/>
              </w:trPr>
              <w:tc>
                <w:tcPr>
                  <w:tcW w:w="3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E3066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测量重复性</w:t>
                  </w:r>
                  <w:r>
                    <w:rPr>
                      <w:rStyle w:val="53"/>
                      <w:rFonts w:eastAsia="宋体"/>
                      <w:sz w:val="21"/>
                      <w:szCs w:val="21"/>
                      <w:lang w:val="en-US" w:eastAsia="zh-CN" w:bidi="ar"/>
                    </w:rPr>
                    <w:t>/eV</w:t>
                  </w: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8695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E915F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FDDD6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10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6FAD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</w:tr>
            <w:tr w14:paraId="24D02B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8" w:hRule="atLeast"/>
                <w:jc w:val="center"/>
              </w:trPr>
              <w:tc>
                <w:tcPr>
                  <w:tcW w:w="3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FFBE6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1"/>
                      <w:szCs w:val="21"/>
                      <w:lang w:val="en-US" w:eastAsia="zh-CN" w:bidi="ar-SA"/>
                    </w:rPr>
                    <w:t>示值误差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  <w:lang w:val="en-US" w:eastAsia="zh-CN"/>
                    </w:rPr>
                    <w:t>eV</w:t>
                  </w: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B227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5B6A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8AF7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007D7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</w:tr>
            <w:tr w14:paraId="7504D2D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  <w:jc w:val="center"/>
              </w:trPr>
              <w:tc>
                <w:tcPr>
                  <w:tcW w:w="3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87E7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lang w:bidi="ar"/>
                    </w:rPr>
                    <w:t>扩展不确定度</w:t>
                  </w:r>
                  <w:r>
                    <w:rPr>
                      <w:i/>
                      <w:sz w:val="24"/>
                    </w:rPr>
                    <w:t>U</w:t>
                  </w:r>
                  <w:r>
                    <w:t>(</w:t>
                  </w:r>
                  <w:r>
                    <w:rPr>
                      <w:i/>
                    </w:rPr>
                    <w:t>k</w:t>
                  </w:r>
                  <w:r>
                    <w:t>=</w:t>
                  </w:r>
                  <w:r>
                    <w:rPr>
                      <w:rFonts w:hint="eastAsia" w:ascii="宋体" w:hAnsi="宋体" w:cs="宋体"/>
                    </w:rPr>
                    <w:t>2</w:t>
                  </w:r>
                  <w:r>
                    <w:t>)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  <w:lang w:val="en-US" w:eastAsia="zh-CN"/>
                    </w:rPr>
                    <w:t>eV</w:t>
                  </w: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5FE4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5E5D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514D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00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E8B3C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</w:p>
              </w:tc>
            </w:tr>
          </w:tbl>
          <w:p w14:paraId="524E3EEA">
            <w:pPr>
              <w:numPr>
                <w:ilvl w:val="0"/>
                <w:numId w:val="0"/>
              </w:numPr>
              <w:spacing w:line="36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2、</w:t>
            </w:r>
            <w:r>
              <w:rPr>
                <w:rFonts w:hint="eastAsia"/>
                <w:lang w:val="en-US" w:eastAsia="zh-CN"/>
              </w:rPr>
              <w:t>峰值强度测量重复性见表2。</w:t>
            </w:r>
          </w:p>
          <w:p w14:paraId="2F9FA006">
            <w:pPr>
              <w:spacing w:line="360" w:lineRule="auto"/>
              <w:jc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表</w:t>
            </w:r>
            <w:r>
              <w:rPr>
                <w:rFonts w:hint="eastAsia" w:cs="Times New Roman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峰值强度测量重复性</w:t>
            </w:r>
          </w:p>
          <w:tbl>
            <w:tblPr>
              <w:tblStyle w:val="16"/>
              <w:tblW w:w="2147" w:type="pct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8"/>
              <w:gridCol w:w="2214"/>
            </w:tblGrid>
            <w:tr w14:paraId="7B132C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  <w:jc w:val="center"/>
              </w:trPr>
              <w:tc>
                <w:tcPr>
                  <w:tcW w:w="211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6A493D">
                  <w:pPr>
                    <w:widowControl/>
                    <w:spacing w:line="240" w:lineRule="auto"/>
                    <w:jc w:val="center"/>
                    <w:textAlignment w:val="center"/>
                    <w:rPr>
                      <w:rFonts w:hint="default" w:ascii="Times New Roman" w:hAnsi="Times New Roman" w:cs="Times New Roman"/>
                      <w:color w:val="000000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kern w:val="0"/>
                      <w:lang w:val="en-US" w:eastAsia="zh-CN" w:bidi="ar"/>
                    </w:rPr>
                    <w:t>项目</w:t>
                  </w:r>
                </w:p>
              </w:tc>
              <w:tc>
                <w:tcPr>
                  <w:tcW w:w="288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038AB5">
                  <w:pPr>
                    <w:widowControl/>
                    <w:spacing w:line="240" w:lineRule="auto"/>
                    <w:jc w:val="center"/>
                    <w:textAlignment w:val="center"/>
                    <w:rPr>
                      <w:rFonts w:hint="default" w:ascii="Times New Roman" w:hAnsi="Times New Roman" w:cs="Times New Roman"/>
                      <w:color w:val="000000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测量重复性/</w:t>
                  </w:r>
                  <w:r>
                    <w:rPr>
                      <w:rFonts w:hint="default" w:ascii="Times New Roman" w:hAnsi="Times New Roman" w:cs="Times New Roman"/>
                      <w:lang w:val="en-US" w:eastAsia="zh-CN"/>
                    </w:rPr>
                    <w:t>%</w:t>
                  </w:r>
                </w:p>
              </w:tc>
            </w:tr>
            <w:tr w14:paraId="71FD1C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4" w:hRule="atLeast"/>
                <w:jc w:val="center"/>
              </w:trPr>
              <w:tc>
                <w:tcPr>
                  <w:tcW w:w="2119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89B547">
                  <w:pPr>
                    <w:widowControl/>
                    <w:jc w:val="center"/>
                    <w:textAlignment w:val="center"/>
                    <w:rPr>
                      <w:rFonts w:hint="default" w:ascii="Times New Roman" w:hAnsi="Times New Roman" w:cs="Times New Roman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lang w:val="en-US" w:eastAsia="zh-CN"/>
                    </w:rPr>
                    <w:t>C 1s峰值强度</w:t>
                  </w:r>
                </w:p>
              </w:tc>
              <w:tc>
                <w:tcPr>
                  <w:tcW w:w="2880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77ED6E">
                  <w:pPr>
                    <w:widowControl/>
                    <w:jc w:val="center"/>
                    <w:textAlignment w:val="center"/>
                    <w:rPr>
                      <w:rFonts w:hint="default"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3264F98E"/>
          <w:p w14:paraId="1E7077AA">
            <w:pPr>
              <w:ind w:firstLine="420" w:firstLineChars="200"/>
            </w:pPr>
            <w:r>
              <w:t xml:space="preserve">校准：                                  核验：                  </w:t>
            </w:r>
          </w:p>
        </w:tc>
      </w:tr>
    </w:tbl>
    <w:p w14:paraId="5F236F67">
      <w:pPr>
        <w:spacing w:line="300" w:lineRule="auto"/>
        <w:ind w:left="420" w:left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注：</w:t>
      </w:r>
    </w:p>
    <w:p w14:paraId="2528C698">
      <w:pPr>
        <w:adjustRightInd w:val="0"/>
        <w:spacing w:line="300" w:lineRule="auto"/>
        <w:ind w:left="780" w:leftChars="200" w:hanging="360"/>
        <w:rPr>
          <w:rFonts w:ascii="仿宋" w:hAnsi="仿宋" w:eastAsia="仿宋" w:cs="仿宋"/>
        </w:rPr>
      </w:pP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仿宋"/>
        </w:rPr>
        <w:t>未经书面授权，不得部分复制本证书；</w:t>
      </w:r>
    </w:p>
    <w:p w14:paraId="15387792">
      <w:pPr>
        <w:adjustRightInd w:val="0"/>
        <w:spacing w:line="300" w:lineRule="auto"/>
        <w:ind w:left="780" w:leftChars="200" w:hanging="360"/>
        <w:rPr>
          <w:rFonts w:ascii="仿宋" w:hAnsi="仿宋" w:eastAsia="仿宋" w:cs="仿宋"/>
        </w:rPr>
      </w:pP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仿宋"/>
        </w:rPr>
        <w:t>本证书的校准结果仅对所校计量器具有效。</w:t>
      </w:r>
    </w:p>
    <w:p w14:paraId="25B6DED9">
      <w:pPr>
        <w:autoSpaceDE w:val="0"/>
        <w:autoSpaceDN w:val="0"/>
        <w:adjustRightInd w:val="0"/>
        <w:spacing w:before="156" w:beforeLines="50" w:after="156" w:afterLines="50" w:line="360" w:lineRule="auto"/>
        <w:sectPr>
          <w:footerReference r:id="rId12" w:type="default"/>
          <w:pgSz w:w="11906" w:h="16838"/>
          <w:pgMar w:top="1264" w:right="1418" w:bottom="1418" w:left="1418" w:header="851" w:footer="992" w:gutter="0"/>
          <w:cols w:space="720" w:num="1"/>
          <w:docGrid w:type="lines" w:linePitch="312" w:charSpace="0"/>
        </w:sectPr>
      </w:pPr>
      <w:r>
        <w:t>本证书未加盖校准专用章无效</w:t>
      </w:r>
    </w:p>
    <w:p w14:paraId="2B8C3309">
      <w:pPr>
        <w:spacing w:line="360" w:lineRule="auto"/>
      </w:pPr>
    </w:p>
    <w:p w14:paraId="411AADF9">
      <w:pPr>
        <w:spacing w:line="360" w:lineRule="auto"/>
      </w:pPr>
    </w:p>
    <w:p w14:paraId="3918CE31">
      <w:pPr>
        <w:pStyle w:val="6"/>
        <w:tabs>
          <w:tab w:val="left" w:pos="425"/>
        </w:tabs>
        <w:spacing w:before="120" w:after="120" w:line="360" w:lineRule="auto"/>
        <w:ind w:left="0" w:right="222" w:firstLine="0"/>
        <w:rPr>
          <w:color w:val="000000"/>
          <w:sz w:val="24"/>
          <w:szCs w:val="24"/>
        </w:rPr>
      </w:pPr>
    </w:p>
    <w:p w14:paraId="0C8A507C">
      <w:pPr>
        <w:pStyle w:val="6"/>
        <w:tabs>
          <w:tab w:val="left" w:pos="425"/>
        </w:tabs>
        <w:spacing w:before="120" w:after="120" w:line="360" w:lineRule="auto"/>
        <w:ind w:left="0" w:right="222" w:firstLine="0"/>
        <w:rPr>
          <w:color w:val="000000"/>
          <w:sz w:val="24"/>
          <w:szCs w:val="24"/>
        </w:rPr>
      </w:pPr>
    </w:p>
    <w:p w14:paraId="287A9AC9">
      <w:pPr>
        <w:pStyle w:val="43"/>
        <w:ind w:firstLine="0" w:firstLineChars="0"/>
        <w:rPr>
          <w:color w:val="000000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5951220</wp:posOffset>
                </wp:positionH>
                <wp:positionV relativeFrom="paragraph">
                  <wp:posOffset>-318135</wp:posOffset>
                </wp:positionV>
                <wp:extent cx="417830" cy="2683510"/>
                <wp:effectExtent l="0" t="0" r="0" b="0"/>
                <wp:wrapNone/>
                <wp:docPr id="7" name="Text Box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17830" cy="2683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3EF79CC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JJF 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</w:rPr>
                              <w:t>XXXX</w:t>
                            </w:r>
                            <w: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  <w:t>—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</w:rPr>
                              <w:t>XXXX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7" o:spid="_x0000_s1026" o:spt="202" type="#_x0000_t202" style="position:absolute;left:0pt;margin-left:468.6pt;margin-top:-25.05pt;height:211.3pt;width:32.9pt;z-index:251663360;mso-width-relative:page;mso-height-relative:page;" filled="f" stroked="f" coordsize="21600,21600" o:gfxdata="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ICrLTbAAAADAEAAA8A&#10;AAAAAAAAAQAgAAAAIgAAAGRycy9kb3ducmV2LnhtbFBLAQIUABQAAAAIAIdO4kAsfF+uFAIAADoE&#10;AAAOAAAAAAAAAAEAIAAAACoBAABkcnMvZTJvRG9jLnhtbFBLBQYAAAAABgAGAFkBAACwBQAAAAA=&#10;">
                <v:fill on="f" focussize="0,0"/>
                <v:stroke on="f"/>
                <v:imagedata o:title=""/>
                <o:lock v:ext="edit" aspectratio="t"/>
                <v:textbox style="layout-flow:vertical;mso-layout-flow-alt:bottom-to-top;">
                  <w:txbxContent>
                    <w:p w14:paraId="73EF79CC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JJF </w:t>
                      </w:r>
                      <w:r>
                        <w:rPr>
                          <w:rFonts w:hint="eastAsia" w:ascii="宋体" w:hAnsi="宋体"/>
                          <w:b/>
                          <w:sz w:val="28"/>
                          <w:szCs w:val="28"/>
                        </w:rPr>
                        <w:t>XXXX</w:t>
                      </w:r>
                      <w:r>
                        <w:rPr>
                          <w:rFonts w:ascii="宋体" w:hAnsi="宋体"/>
                          <w:sz w:val="28"/>
                          <w:szCs w:val="28"/>
                        </w:rPr>
                        <w:t>—</w:t>
                      </w:r>
                      <w:r>
                        <w:rPr>
                          <w:rFonts w:hint="eastAsia" w:ascii="宋体" w:hAnsi="宋体"/>
                          <w:b/>
                          <w:sz w:val="28"/>
                          <w:szCs w:val="28"/>
                        </w:rPr>
                        <w:t>XXXX</w:t>
                      </w:r>
                    </w:p>
                  </w:txbxContent>
                </v:textbox>
              </v:shape>
            </w:pict>
          </mc:Fallback>
        </mc:AlternateContent>
      </w:r>
    </w:p>
    <w:p w14:paraId="5159FA0A">
      <w:pPr>
        <w:rPr>
          <w:color w:val="000000"/>
        </w:rPr>
      </w:pPr>
    </w:p>
    <w:p w14:paraId="4E114ECB">
      <w:pPr>
        <w:rPr>
          <w:color w:val="000000"/>
        </w:rPr>
      </w:pPr>
    </w:p>
    <w:p w14:paraId="58EEC433">
      <w:pPr>
        <w:rPr>
          <w:color w:val="000000"/>
        </w:rPr>
      </w:pPr>
    </w:p>
    <w:p w14:paraId="76E16ABD">
      <w:pPr>
        <w:rPr>
          <w:color w:val="000000"/>
        </w:rPr>
      </w:pPr>
    </w:p>
    <w:p w14:paraId="786B439F">
      <w:pPr>
        <w:rPr>
          <w:color w:val="000000"/>
        </w:rPr>
      </w:pPr>
    </w:p>
    <w:p w14:paraId="302A19E8">
      <w:pPr>
        <w:rPr>
          <w:color w:val="000000"/>
        </w:rPr>
      </w:pPr>
    </w:p>
    <w:p w14:paraId="2CCC74C8">
      <w:pPr>
        <w:rPr>
          <w:color w:val="000000"/>
        </w:rPr>
      </w:pPr>
    </w:p>
    <w:p w14:paraId="7EF88966">
      <w:pPr>
        <w:rPr>
          <w:color w:val="000000"/>
        </w:rPr>
      </w:pPr>
    </w:p>
    <w:p w14:paraId="5A84D472">
      <w:pPr>
        <w:rPr>
          <w:color w:val="000000"/>
        </w:rPr>
      </w:pPr>
    </w:p>
    <w:p w14:paraId="4D38BE82">
      <w:pPr>
        <w:rPr>
          <w:color w:val="000000"/>
        </w:rPr>
      </w:pPr>
    </w:p>
    <w:p w14:paraId="5EF21AEC">
      <w:pPr>
        <w:rPr>
          <w:color w:val="000000"/>
        </w:rPr>
      </w:pPr>
    </w:p>
    <w:p w14:paraId="04F3BC2A">
      <w:pPr>
        <w:rPr>
          <w:color w:val="000000"/>
        </w:rPr>
      </w:pPr>
    </w:p>
    <w:p w14:paraId="3F3615D0">
      <w:pPr>
        <w:rPr>
          <w:color w:val="000000"/>
        </w:rPr>
      </w:pPr>
    </w:p>
    <w:p w14:paraId="174B9379">
      <w:pPr>
        <w:rPr>
          <w:color w:val="000000"/>
        </w:rPr>
      </w:pPr>
    </w:p>
    <w:p w14:paraId="57334140">
      <w:pPr>
        <w:rPr>
          <w:color w:val="000000"/>
        </w:rPr>
      </w:pPr>
    </w:p>
    <w:p w14:paraId="732B5CC5">
      <w:pPr>
        <w:rPr>
          <w:color w:val="000000"/>
        </w:rPr>
      </w:pPr>
    </w:p>
    <w:p w14:paraId="0271C7B4">
      <w:pPr>
        <w:rPr>
          <w:color w:val="000000"/>
        </w:rPr>
      </w:pPr>
    </w:p>
    <w:p w14:paraId="639865E9">
      <w:pPr>
        <w:rPr>
          <w:color w:val="000000"/>
        </w:rPr>
      </w:pPr>
    </w:p>
    <w:p w14:paraId="4C7F0208">
      <w:pPr>
        <w:rPr>
          <w:color w:val="000000"/>
        </w:rPr>
      </w:pPr>
    </w:p>
    <w:p w14:paraId="2568DDF1">
      <w:pPr>
        <w:rPr>
          <w:color w:val="000000"/>
        </w:rPr>
      </w:pPr>
    </w:p>
    <w:p w14:paraId="4D6C2F02">
      <w:pPr>
        <w:rPr>
          <w:color w:val="000000"/>
        </w:rPr>
      </w:pPr>
    </w:p>
    <w:p w14:paraId="002A43B6">
      <w:pPr>
        <w:rPr>
          <w:color w:val="000000"/>
        </w:rPr>
      </w:pPr>
    </w:p>
    <w:p w14:paraId="620DBB23">
      <w:pPr>
        <w:rPr>
          <w:color w:val="000000"/>
        </w:rPr>
      </w:pPr>
    </w:p>
    <w:p w14:paraId="38967BA0">
      <w:pPr>
        <w:rPr>
          <w:color w:val="000000"/>
        </w:rPr>
      </w:pPr>
    </w:p>
    <w:p w14:paraId="250C4CE1">
      <w:pPr>
        <w:spacing w:line="324" w:lineRule="auto"/>
        <w:jc w:val="center"/>
        <w:rPr>
          <w:color w:val="000000"/>
          <w:spacing w:val="30"/>
          <w:sz w:val="28"/>
          <w:szCs w:val="28"/>
        </w:rPr>
      </w:pPr>
      <w:r>
        <w:rPr>
          <w:rFonts w:hint="eastAsia"/>
          <w:color w:val="000000"/>
          <w:spacing w:val="30"/>
          <w:sz w:val="28"/>
          <w:szCs w:val="28"/>
        </w:rPr>
        <w:t>中华人民共和国</w:t>
      </w:r>
    </w:p>
    <w:p w14:paraId="16F78EA2">
      <w:pPr>
        <w:spacing w:line="324" w:lineRule="auto"/>
        <w:jc w:val="center"/>
        <w:rPr>
          <w:color w:val="000000"/>
          <w:spacing w:val="30"/>
          <w:sz w:val="28"/>
          <w:szCs w:val="28"/>
        </w:rPr>
      </w:pPr>
      <w:r>
        <w:rPr>
          <w:rFonts w:hint="eastAsia"/>
          <w:color w:val="000000"/>
          <w:spacing w:val="30"/>
          <w:sz w:val="28"/>
          <w:szCs w:val="28"/>
        </w:rPr>
        <w:t>国家计量技术规范</w:t>
      </w:r>
    </w:p>
    <w:p w14:paraId="1B43523A">
      <w:pPr>
        <w:spacing w:line="324" w:lineRule="auto"/>
        <w:jc w:val="center"/>
        <w:rPr>
          <w:rFonts w:eastAsia="黑体"/>
          <w:color w:val="000000"/>
          <w:spacing w:val="50"/>
          <w:sz w:val="28"/>
          <w:szCs w:val="28"/>
        </w:rPr>
      </w:pPr>
      <w:r>
        <w:rPr>
          <w:rFonts w:hint="eastAsia" w:eastAsia="黑体"/>
          <w:color w:val="000000"/>
          <w:spacing w:val="50"/>
          <w:sz w:val="28"/>
          <w:szCs w:val="28"/>
          <w:lang w:val="en-US" w:eastAsia="zh-CN"/>
        </w:rPr>
        <w:t>X射线光电子能谱</w:t>
      </w:r>
      <w:r>
        <w:rPr>
          <w:rFonts w:hint="eastAsia" w:eastAsia="黑体"/>
          <w:color w:val="000000"/>
          <w:spacing w:val="50"/>
          <w:sz w:val="28"/>
          <w:szCs w:val="28"/>
        </w:rPr>
        <w:t>仪</w:t>
      </w:r>
      <w:r>
        <w:rPr>
          <w:rFonts w:eastAsia="黑体"/>
          <w:color w:val="000000"/>
          <w:spacing w:val="50"/>
          <w:sz w:val="28"/>
          <w:szCs w:val="28"/>
        </w:rPr>
        <w:t>校准规范</w:t>
      </w:r>
    </w:p>
    <w:p w14:paraId="792E9C8C">
      <w:pPr>
        <w:spacing w:line="324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JJF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eastAsia="黑体"/>
          <w:color w:val="000000"/>
          <w:sz w:val="28"/>
          <w:szCs w:val="28"/>
        </w:rPr>
        <w:t>XXXX</w:t>
      </w:r>
      <w:r>
        <w:rPr>
          <w:color w:val="000000"/>
          <w:sz w:val="28"/>
          <w:szCs w:val="28"/>
        </w:rPr>
        <w:t>—</w:t>
      </w:r>
      <w:r>
        <w:rPr>
          <w:rFonts w:eastAsia="黑体"/>
          <w:color w:val="000000"/>
          <w:sz w:val="28"/>
          <w:szCs w:val="28"/>
        </w:rPr>
        <w:t>XXXX</w:t>
      </w:r>
    </w:p>
    <w:p w14:paraId="35CE3461">
      <w:pPr>
        <w:spacing w:line="324" w:lineRule="auto"/>
        <w:jc w:val="center"/>
        <w:rPr>
          <w:color w:val="000000"/>
        </w:rPr>
      </w:pPr>
      <w:r>
        <w:rPr>
          <w:rFonts w:hint="eastAsia"/>
          <w:color w:val="000000"/>
          <w:spacing w:val="20"/>
          <w:sz w:val="28"/>
          <w:szCs w:val="28"/>
        </w:rPr>
        <w:t>国家市场监督管理总局</w:t>
      </w:r>
      <w:r>
        <w:rPr>
          <w:color w:val="000000"/>
          <w:spacing w:val="20"/>
          <w:sz w:val="28"/>
          <w:szCs w:val="28"/>
        </w:rPr>
        <w:t>发布</w:t>
      </w:r>
    </w:p>
    <w:sectPr>
      <w:footerReference r:id="rId13" w:type="default"/>
      <w:pgSz w:w="11906" w:h="16838"/>
      <w:pgMar w:top="1264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黑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5FABF">
    <w:pPr>
      <w:pStyle w:val="10"/>
      <w:jc w:val="center"/>
      <w:rPr>
        <w:spacing w:val="40"/>
        <w:sz w:val="4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0ADE">
    <w:pPr>
      <w:pStyle w:val="10"/>
      <w:ind w:firstLine="8640" w:firstLineChars="4800"/>
    </w:pPr>
    <w:r>
      <w:rPr>
        <w:rFonts w:hint="eastAsia"/>
      </w:rPr>
      <w:tab/>
    </w: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05206">
    <w:pPr>
      <w:pStyle w:val="1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75795">
    <w:pPr>
      <w:pStyle w:val="1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I</w:t>
    </w:r>
    <w:r>
      <w:rPr>
        <w:lang w:val="zh-CN"/>
      </w:rPr>
      <w:fldChar w:fldCharType="end"/>
    </w:r>
  </w:p>
  <w:p w14:paraId="6DCCA0AC">
    <w:pPr>
      <w:pStyle w:val="1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7199A">
    <w:pPr>
      <w:pStyle w:val="1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I</w:t>
    </w:r>
    <w:r>
      <w:rPr>
        <w:lang w:val="zh-CN"/>
      </w:rPr>
      <w:fldChar w:fldCharType="end"/>
    </w:r>
  </w:p>
  <w:p w14:paraId="7C5B9865">
    <w:pPr>
      <w:pStyle w:val="10"/>
      <w:jc w:val="cen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CAC47">
    <w:pPr>
      <w:pStyle w:val="1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I</w:t>
    </w:r>
    <w:r>
      <w:rPr>
        <w:lang w:val="zh-CN"/>
      </w:rPr>
      <w:fldChar w:fldCharType="end"/>
    </w:r>
  </w:p>
  <w:p w14:paraId="6E4F5953">
    <w:pPr>
      <w:pStyle w:val="10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1B443">
    <w:pPr>
      <w:pStyle w:val="1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I</w:t>
    </w:r>
    <w:r>
      <w:rPr>
        <w:lang w:val="zh-CN"/>
      </w:rPr>
      <w:fldChar w:fldCharType="end"/>
    </w:r>
  </w:p>
  <w:p w14:paraId="2A037C25">
    <w:pPr>
      <w:pStyle w:val="1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DE8D5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4B942">
    <w:pPr>
      <w:pStyle w:val="11"/>
      <w:rPr>
        <w:b/>
        <w:bCs/>
        <w:sz w:val="24"/>
      </w:rPr>
    </w:pPr>
  </w:p>
  <w:p w14:paraId="08482A47">
    <w:pPr>
      <w:pStyle w:val="11"/>
      <w:rPr>
        <w:sz w:val="24"/>
      </w:rPr>
    </w:pPr>
    <w:r>
      <w:rPr>
        <w:rFonts w:hint="eastAsia" w:ascii="黑体" w:hAnsi="黑体" w:eastAsia="黑体"/>
        <w:b/>
        <w:bCs/>
        <w:sz w:val="21"/>
        <w:szCs w:val="21"/>
      </w:rPr>
      <w:t>JJF XXX-XXXX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1E6D9">
    <w:pPr>
      <w:pStyle w:val="11"/>
    </w:pPr>
    <w:r>
      <w:rPr>
        <w:rFonts w:hint="eastAsia"/>
      </w:rPr>
      <w:t>JJF XXXX</w:t>
    </w:r>
    <w:r>
      <w:t>-</w:t>
    </w:r>
    <w:r>
      <w:rPr>
        <w:rFonts w:hint="eastAsia"/>
      </w:rPr>
      <w:t>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4885F">
    <w:pPr>
      <w:pStyle w:val="11"/>
      <w:rPr>
        <w:rFonts w:ascii="黑体" w:hAnsi="黑体" w:eastAsia="黑体"/>
        <w:sz w:val="21"/>
        <w:szCs w:val="21"/>
      </w:rPr>
    </w:pPr>
    <w:r>
      <w:rPr>
        <w:rFonts w:hint="eastAsia" w:ascii="黑体" w:hAnsi="黑体" w:eastAsia="黑体"/>
        <w:sz w:val="21"/>
        <w:szCs w:val="21"/>
      </w:rPr>
      <w:t>JJF XXXX</w:t>
    </w:r>
    <w:r>
      <w:rPr>
        <w:rFonts w:ascii="黑体" w:hAnsi="黑体" w:eastAsia="黑体"/>
        <w:sz w:val="21"/>
        <w:szCs w:val="21"/>
      </w:rPr>
      <w:t>-</w:t>
    </w:r>
    <w:r>
      <w:rPr>
        <w:rFonts w:hint="eastAsia" w:ascii="黑体" w:hAnsi="黑体" w:eastAsia="黑体"/>
        <w:sz w:val="21"/>
        <w:szCs w:val="21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E09B9E"/>
    <w:multiLevelType w:val="singleLevel"/>
    <w:tmpl w:val="D7E09B9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087632E"/>
    <w:multiLevelType w:val="singleLevel"/>
    <w:tmpl w:val="4087632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DF99718"/>
    <w:multiLevelType w:val="singleLevel"/>
    <w:tmpl w:val="7DF99718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numFmt w:val="decimalFullWidth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00D405D8"/>
    <w:rsid w:val="0000049F"/>
    <w:rsid w:val="00004D99"/>
    <w:rsid w:val="00004DB0"/>
    <w:rsid w:val="00007E8D"/>
    <w:rsid w:val="0001516D"/>
    <w:rsid w:val="0001519C"/>
    <w:rsid w:val="000153C6"/>
    <w:rsid w:val="00024155"/>
    <w:rsid w:val="000304C7"/>
    <w:rsid w:val="00031DD5"/>
    <w:rsid w:val="000325F8"/>
    <w:rsid w:val="000414CE"/>
    <w:rsid w:val="00050D2E"/>
    <w:rsid w:val="0006290B"/>
    <w:rsid w:val="000629BA"/>
    <w:rsid w:val="00065859"/>
    <w:rsid w:val="000718BE"/>
    <w:rsid w:val="0007397F"/>
    <w:rsid w:val="000739A2"/>
    <w:rsid w:val="00077085"/>
    <w:rsid w:val="00077782"/>
    <w:rsid w:val="00081EE8"/>
    <w:rsid w:val="000820E2"/>
    <w:rsid w:val="0009004A"/>
    <w:rsid w:val="00090800"/>
    <w:rsid w:val="0009410B"/>
    <w:rsid w:val="000A10F1"/>
    <w:rsid w:val="000A4A21"/>
    <w:rsid w:val="000A6D98"/>
    <w:rsid w:val="000B265F"/>
    <w:rsid w:val="000B787D"/>
    <w:rsid w:val="000C097B"/>
    <w:rsid w:val="000C0B2B"/>
    <w:rsid w:val="000C134C"/>
    <w:rsid w:val="000C3E71"/>
    <w:rsid w:val="000E6736"/>
    <w:rsid w:val="000E7181"/>
    <w:rsid w:val="000F29A1"/>
    <w:rsid w:val="00103585"/>
    <w:rsid w:val="0011182A"/>
    <w:rsid w:val="001139A7"/>
    <w:rsid w:val="001322D1"/>
    <w:rsid w:val="00140F98"/>
    <w:rsid w:val="00143E86"/>
    <w:rsid w:val="00146D0A"/>
    <w:rsid w:val="00152C19"/>
    <w:rsid w:val="00154D3E"/>
    <w:rsid w:val="0016303A"/>
    <w:rsid w:val="001669D4"/>
    <w:rsid w:val="00167EF5"/>
    <w:rsid w:val="0017637E"/>
    <w:rsid w:val="00176FC7"/>
    <w:rsid w:val="001826FD"/>
    <w:rsid w:val="00190592"/>
    <w:rsid w:val="001951EE"/>
    <w:rsid w:val="001A3B0B"/>
    <w:rsid w:val="001B3873"/>
    <w:rsid w:val="001C6169"/>
    <w:rsid w:val="001C68C2"/>
    <w:rsid w:val="001D02A6"/>
    <w:rsid w:val="001D23AE"/>
    <w:rsid w:val="001D2769"/>
    <w:rsid w:val="001D4A06"/>
    <w:rsid w:val="001E0EC9"/>
    <w:rsid w:val="001E13DB"/>
    <w:rsid w:val="001F1A58"/>
    <w:rsid w:val="001F630D"/>
    <w:rsid w:val="001F789A"/>
    <w:rsid w:val="0020123B"/>
    <w:rsid w:val="00201512"/>
    <w:rsid w:val="002104BA"/>
    <w:rsid w:val="0021162B"/>
    <w:rsid w:val="002141E8"/>
    <w:rsid w:val="0022466F"/>
    <w:rsid w:val="00226FE3"/>
    <w:rsid w:val="00232998"/>
    <w:rsid w:val="0024018E"/>
    <w:rsid w:val="0024054E"/>
    <w:rsid w:val="00243D48"/>
    <w:rsid w:val="00251519"/>
    <w:rsid w:val="002561B7"/>
    <w:rsid w:val="00257510"/>
    <w:rsid w:val="00261DC6"/>
    <w:rsid w:val="00267243"/>
    <w:rsid w:val="00271708"/>
    <w:rsid w:val="0027383D"/>
    <w:rsid w:val="002807CD"/>
    <w:rsid w:val="00281439"/>
    <w:rsid w:val="00290767"/>
    <w:rsid w:val="00294A20"/>
    <w:rsid w:val="0029639D"/>
    <w:rsid w:val="002A1B6F"/>
    <w:rsid w:val="002A7B84"/>
    <w:rsid w:val="002C323C"/>
    <w:rsid w:val="002C33B0"/>
    <w:rsid w:val="002D3071"/>
    <w:rsid w:val="002D3210"/>
    <w:rsid w:val="002D40F6"/>
    <w:rsid w:val="002F646D"/>
    <w:rsid w:val="00301E17"/>
    <w:rsid w:val="00305D1C"/>
    <w:rsid w:val="00311835"/>
    <w:rsid w:val="00315B55"/>
    <w:rsid w:val="0032313F"/>
    <w:rsid w:val="00335CFB"/>
    <w:rsid w:val="003467E8"/>
    <w:rsid w:val="00352780"/>
    <w:rsid w:val="00364C66"/>
    <w:rsid w:val="00370495"/>
    <w:rsid w:val="003729EA"/>
    <w:rsid w:val="00372A71"/>
    <w:rsid w:val="0037542D"/>
    <w:rsid w:val="003826AD"/>
    <w:rsid w:val="00382BAE"/>
    <w:rsid w:val="00384394"/>
    <w:rsid w:val="0039543F"/>
    <w:rsid w:val="00395870"/>
    <w:rsid w:val="003B01F3"/>
    <w:rsid w:val="003B4F80"/>
    <w:rsid w:val="003B712C"/>
    <w:rsid w:val="003B7508"/>
    <w:rsid w:val="003C1B1C"/>
    <w:rsid w:val="003D7C43"/>
    <w:rsid w:val="003E1E72"/>
    <w:rsid w:val="003E20DE"/>
    <w:rsid w:val="003F10DE"/>
    <w:rsid w:val="00406008"/>
    <w:rsid w:val="00417690"/>
    <w:rsid w:val="0042738C"/>
    <w:rsid w:val="004347D9"/>
    <w:rsid w:val="00436022"/>
    <w:rsid w:val="00437344"/>
    <w:rsid w:val="0044401A"/>
    <w:rsid w:val="0044537D"/>
    <w:rsid w:val="004516C1"/>
    <w:rsid w:val="0045573A"/>
    <w:rsid w:val="00457A47"/>
    <w:rsid w:val="00460196"/>
    <w:rsid w:val="00465DD9"/>
    <w:rsid w:val="00467637"/>
    <w:rsid w:val="00471E9E"/>
    <w:rsid w:val="004756E2"/>
    <w:rsid w:val="00482D3E"/>
    <w:rsid w:val="004922D1"/>
    <w:rsid w:val="00493F4F"/>
    <w:rsid w:val="00495913"/>
    <w:rsid w:val="00495DC6"/>
    <w:rsid w:val="004A274B"/>
    <w:rsid w:val="004A4E6E"/>
    <w:rsid w:val="004A7103"/>
    <w:rsid w:val="004B40F6"/>
    <w:rsid w:val="004B438C"/>
    <w:rsid w:val="004B675D"/>
    <w:rsid w:val="004C7CD4"/>
    <w:rsid w:val="004D649A"/>
    <w:rsid w:val="004D77C6"/>
    <w:rsid w:val="004E039D"/>
    <w:rsid w:val="004E0E28"/>
    <w:rsid w:val="004E2DE3"/>
    <w:rsid w:val="004E4331"/>
    <w:rsid w:val="004F09FF"/>
    <w:rsid w:val="004F0E08"/>
    <w:rsid w:val="00502FAF"/>
    <w:rsid w:val="00504190"/>
    <w:rsid w:val="00505F22"/>
    <w:rsid w:val="00511EE7"/>
    <w:rsid w:val="00514C1F"/>
    <w:rsid w:val="0053061A"/>
    <w:rsid w:val="00535508"/>
    <w:rsid w:val="00541BA0"/>
    <w:rsid w:val="00550E29"/>
    <w:rsid w:val="0056453C"/>
    <w:rsid w:val="00567FA5"/>
    <w:rsid w:val="00581B39"/>
    <w:rsid w:val="00581BD8"/>
    <w:rsid w:val="005876E5"/>
    <w:rsid w:val="005A6105"/>
    <w:rsid w:val="005A61B6"/>
    <w:rsid w:val="005B3CBA"/>
    <w:rsid w:val="005B6D29"/>
    <w:rsid w:val="005B7924"/>
    <w:rsid w:val="005C20E4"/>
    <w:rsid w:val="005C6741"/>
    <w:rsid w:val="005C6ADC"/>
    <w:rsid w:val="005D3C0A"/>
    <w:rsid w:val="005D4445"/>
    <w:rsid w:val="005D645F"/>
    <w:rsid w:val="005F22A1"/>
    <w:rsid w:val="005F2E3A"/>
    <w:rsid w:val="005F6350"/>
    <w:rsid w:val="00600EB3"/>
    <w:rsid w:val="00602342"/>
    <w:rsid w:val="00603397"/>
    <w:rsid w:val="00605129"/>
    <w:rsid w:val="00612581"/>
    <w:rsid w:val="00621743"/>
    <w:rsid w:val="00624E65"/>
    <w:rsid w:val="00625E44"/>
    <w:rsid w:val="0062662A"/>
    <w:rsid w:val="006268D0"/>
    <w:rsid w:val="00633BCD"/>
    <w:rsid w:val="00635C3E"/>
    <w:rsid w:val="00635D6B"/>
    <w:rsid w:val="00640A85"/>
    <w:rsid w:val="0064388D"/>
    <w:rsid w:val="00654111"/>
    <w:rsid w:val="006706D4"/>
    <w:rsid w:val="00673604"/>
    <w:rsid w:val="006754AB"/>
    <w:rsid w:val="006771FD"/>
    <w:rsid w:val="00680829"/>
    <w:rsid w:val="00683EAF"/>
    <w:rsid w:val="00686C86"/>
    <w:rsid w:val="006877FD"/>
    <w:rsid w:val="00695E87"/>
    <w:rsid w:val="006A1ADF"/>
    <w:rsid w:val="006A6C84"/>
    <w:rsid w:val="006B116D"/>
    <w:rsid w:val="006B14A7"/>
    <w:rsid w:val="006B1DCF"/>
    <w:rsid w:val="006C29E1"/>
    <w:rsid w:val="006C439E"/>
    <w:rsid w:val="006C5EE5"/>
    <w:rsid w:val="006D4D3F"/>
    <w:rsid w:val="006E36B0"/>
    <w:rsid w:val="00705CE7"/>
    <w:rsid w:val="00706A5B"/>
    <w:rsid w:val="00707888"/>
    <w:rsid w:val="00713B52"/>
    <w:rsid w:val="007227B5"/>
    <w:rsid w:val="0072409F"/>
    <w:rsid w:val="0072471D"/>
    <w:rsid w:val="0072710B"/>
    <w:rsid w:val="007275DA"/>
    <w:rsid w:val="00742931"/>
    <w:rsid w:val="00742E64"/>
    <w:rsid w:val="00743CE8"/>
    <w:rsid w:val="007526C4"/>
    <w:rsid w:val="007550A8"/>
    <w:rsid w:val="00756218"/>
    <w:rsid w:val="0076739A"/>
    <w:rsid w:val="0077628A"/>
    <w:rsid w:val="00777F74"/>
    <w:rsid w:val="0078193A"/>
    <w:rsid w:val="0078201C"/>
    <w:rsid w:val="00784A34"/>
    <w:rsid w:val="0078541B"/>
    <w:rsid w:val="00790EF3"/>
    <w:rsid w:val="00794F72"/>
    <w:rsid w:val="007A1658"/>
    <w:rsid w:val="007A34F3"/>
    <w:rsid w:val="007A48B7"/>
    <w:rsid w:val="007B2960"/>
    <w:rsid w:val="007B2DB2"/>
    <w:rsid w:val="007B63C2"/>
    <w:rsid w:val="007E11DF"/>
    <w:rsid w:val="007E314D"/>
    <w:rsid w:val="007F2130"/>
    <w:rsid w:val="007F65EF"/>
    <w:rsid w:val="007F7077"/>
    <w:rsid w:val="00803849"/>
    <w:rsid w:val="00806556"/>
    <w:rsid w:val="0080765A"/>
    <w:rsid w:val="008104E3"/>
    <w:rsid w:val="0081149A"/>
    <w:rsid w:val="00817591"/>
    <w:rsid w:val="008405E9"/>
    <w:rsid w:val="00843DA2"/>
    <w:rsid w:val="00847094"/>
    <w:rsid w:val="008660BF"/>
    <w:rsid w:val="00866737"/>
    <w:rsid w:val="00875FF3"/>
    <w:rsid w:val="0088693C"/>
    <w:rsid w:val="00893932"/>
    <w:rsid w:val="008944D0"/>
    <w:rsid w:val="0089506C"/>
    <w:rsid w:val="00896255"/>
    <w:rsid w:val="008A1217"/>
    <w:rsid w:val="008A3E56"/>
    <w:rsid w:val="008A7343"/>
    <w:rsid w:val="008B0368"/>
    <w:rsid w:val="008B0C1A"/>
    <w:rsid w:val="008C313F"/>
    <w:rsid w:val="008C36EB"/>
    <w:rsid w:val="008C5D32"/>
    <w:rsid w:val="008C6C96"/>
    <w:rsid w:val="008D0DED"/>
    <w:rsid w:val="008D1E05"/>
    <w:rsid w:val="008D4039"/>
    <w:rsid w:val="008F07E2"/>
    <w:rsid w:val="00901349"/>
    <w:rsid w:val="009038E3"/>
    <w:rsid w:val="00912106"/>
    <w:rsid w:val="00913914"/>
    <w:rsid w:val="00914FB7"/>
    <w:rsid w:val="00940570"/>
    <w:rsid w:val="00940716"/>
    <w:rsid w:val="00943A0B"/>
    <w:rsid w:val="009444C8"/>
    <w:rsid w:val="00944B78"/>
    <w:rsid w:val="009461FD"/>
    <w:rsid w:val="00954C3F"/>
    <w:rsid w:val="009551D2"/>
    <w:rsid w:val="00967708"/>
    <w:rsid w:val="0096795B"/>
    <w:rsid w:val="00971479"/>
    <w:rsid w:val="0097224D"/>
    <w:rsid w:val="00973731"/>
    <w:rsid w:val="00977FF5"/>
    <w:rsid w:val="0098035F"/>
    <w:rsid w:val="00983B47"/>
    <w:rsid w:val="009907A4"/>
    <w:rsid w:val="0099106B"/>
    <w:rsid w:val="009917BD"/>
    <w:rsid w:val="00994048"/>
    <w:rsid w:val="00995BEB"/>
    <w:rsid w:val="009B3E06"/>
    <w:rsid w:val="009B56C5"/>
    <w:rsid w:val="009B65EF"/>
    <w:rsid w:val="009C17F2"/>
    <w:rsid w:val="009C5241"/>
    <w:rsid w:val="009C7D47"/>
    <w:rsid w:val="009D0F46"/>
    <w:rsid w:val="009D76CB"/>
    <w:rsid w:val="009E084C"/>
    <w:rsid w:val="009E5767"/>
    <w:rsid w:val="009F179A"/>
    <w:rsid w:val="009F6894"/>
    <w:rsid w:val="009F7A26"/>
    <w:rsid w:val="00A029B5"/>
    <w:rsid w:val="00A03B51"/>
    <w:rsid w:val="00A10D2C"/>
    <w:rsid w:val="00A167F7"/>
    <w:rsid w:val="00A20CD4"/>
    <w:rsid w:val="00A30B8C"/>
    <w:rsid w:val="00A43B8D"/>
    <w:rsid w:val="00A4663B"/>
    <w:rsid w:val="00A47C5E"/>
    <w:rsid w:val="00A522D8"/>
    <w:rsid w:val="00A5347E"/>
    <w:rsid w:val="00A62E03"/>
    <w:rsid w:val="00A652D9"/>
    <w:rsid w:val="00A73462"/>
    <w:rsid w:val="00A747D7"/>
    <w:rsid w:val="00A75C7A"/>
    <w:rsid w:val="00A84BDF"/>
    <w:rsid w:val="00A91D2D"/>
    <w:rsid w:val="00A93166"/>
    <w:rsid w:val="00A95377"/>
    <w:rsid w:val="00A95FF8"/>
    <w:rsid w:val="00AA26AC"/>
    <w:rsid w:val="00AA49E9"/>
    <w:rsid w:val="00AA64CF"/>
    <w:rsid w:val="00AA6E91"/>
    <w:rsid w:val="00AA7609"/>
    <w:rsid w:val="00AB48F8"/>
    <w:rsid w:val="00AB6DD9"/>
    <w:rsid w:val="00AC080A"/>
    <w:rsid w:val="00AC0868"/>
    <w:rsid w:val="00AC5734"/>
    <w:rsid w:val="00AD20DE"/>
    <w:rsid w:val="00AE0351"/>
    <w:rsid w:val="00AE6317"/>
    <w:rsid w:val="00AF50F7"/>
    <w:rsid w:val="00AF586B"/>
    <w:rsid w:val="00B04083"/>
    <w:rsid w:val="00B0797E"/>
    <w:rsid w:val="00B12D06"/>
    <w:rsid w:val="00B17273"/>
    <w:rsid w:val="00B2052E"/>
    <w:rsid w:val="00B2108D"/>
    <w:rsid w:val="00B23E2A"/>
    <w:rsid w:val="00B24C8C"/>
    <w:rsid w:val="00B335F6"/>
    <w:rsid w:val="00B36797"/>
    <w:rsid w:val="00B368FE"/>
    <w:rsid w:val="00B422EB"/>
    <w:rsid w:val="00B45226"/>
    <w:rsid w:val="00B566C4"/>
    <w:rsid w:val="00B64A4F"/>
    <w:rsid w:val="00B65426"/>
    <w:rsid w:val="00B74B35"/>
    <w:rsid w:val="00B75FC8"/>
    <w:rsid w:val="00B84299"/>
    <w:rsid w:val="00B9206A"/>
    <w:rsid w:val="00B968CB"/>
    <w:rsid w:val="00B9751D"/>
    <w:rsid w:val="00BA4B34"/>
    <w:rsid w:val="00BA601B"/>
    <w:rsid w:val="00BB0DEF"/>
    <w:rsid w:val="00BB156E"/>
    <w:rsid w:val="00BB1DFD"/>
    <w:rsid w:val="00BB5114"/>
    <w:rsid w:val="00BC0FCF"/>
    <w:rsid w:val="00BC7130"/>
    <w:rsid w:val="00BC72E9"/>
    <w:rsid w:val="00BE2D7E"/>
    <w:rsid w:val="00BF3BEA"/>
    <w:rsid w:val="00BF5491"/>
    <w:rsid w:val="00C00848"/>
    <w:rsid w:val="00C00B4D"/>
    <w:rsid w:val="00C03248"/>
    <w:rsid w:val="00C0515D"/>
    <w:rsid w:val="00C055AC"/>
    <w:rsid w:val="00C0612C"/>
    <w:rsid w:val="00C104B8"/>
    <w:rsid w:val="00C11745"/>
    <w:rsid w:val="00C12C31"/>
    <w:rsid w:val="00C2272A"/>
    <w:rsid w:val="00C23577"/>
    <w:rsid w:val="00C41C49"/>
    <w:rsid w:val="00C42F5D"/>
    <w:rsid w:val="00C43579"/>
    <w:rsid w:val="00C43878"/>
    <w:rsid w:val="00C502C0"/>
    <w:rsid w:val="00C510DE"/>
    <w:rsid w:val="00C56EDB"/>
    <w:rsid w:val="00C72A8B"/>
    <w:rsid w:val="00C7533E"/>
    <w:rsid w:val="00C82A3D"/>
    <w:rsid w:val="00C83936"/>
    <w:rsid w:val="00C84EF4"/>
    <w:rsid w:val="00C91CFE"/>
    <w:rsid w:val="00CA1C24"/>
    <w:rsid w:val="00CA3963"/>
    <w:rsid w:val="00CB13F5"/>
    <w:rsid w:val="00CB1B8A"/>
    <w:rsid w:val="00CB4EC4"/>
    <w:rsid w:val="00CC6360"/>
    <w:rsid w:val="00CD257D"/>
    <w:rsid w:val="00CD6630"/>
    <w:rsid w:val="00CE67D0"/>
    <w:rsid w:val="00CE7749"/>
    <w:rsid w:val="00CF269F"/>
    <w:rsid w:val="00CF4827"/>
    <w:rsid w:val="00CF643C"/>
    <w:rsid w:val="00D039C9"/>
    <w:rsid w:val="00D05A8F"/>
    <w:rsid w:val="00D07A75"/>
    <w:rsid w:val="00D1010C"/>
    <w:rsid w:val="00D111C3"/>
    <w:rsid w:val="00D23242"/>
    <w:rsid w:val="00D25DF1"/>
    <w:rsid w:val="00D270AB"/>
    <w:rsid w:val="00D33051"/>
    <w:rsid w:val="00D405D8"/>
    <w:rsid w:val="00D41842"/>
    <w:rsid w:val="00D43315"/>
    <w:rsid w:val="00D475D3"/>
    <w:rsid w:val="00D515E7"/>
    <w:rsid w:val="00D61D3A"/>
    <w:rsid w:val="00D62931"/>
    <w:rsid w:val="00D65D00"/>
    <w:rsid w:val="00D736CA"/>
    <w:rsid w:val="00D76FE5"/>
    <w:rsid w:val="00D77B68"/>
    <w:rsid w:val="00D81635"/>
    <w:rsid w:val="00D81E19"/>
    <w:rsid w:val="00D86215"/>
    <w:rsid w:val="00D9565D"/>
    <w:rsid w:val="00DA3314"/>
    <w:rsid w:val="00DA3793"/>
    <w:rsid w:val="00DA5004"/>
    <w:rsid w:val="00DA50E6"/>
    <w:rsid w:val="00DB094D"/>
    <w:rsid w:val="00DB3E5B"/>
    <w:rsid w:val="00DB67F7"/>
    <w:rsid w:val="00DB6BC9"/>
    <w:rsid w:val="00DC1B11"/>
    <w:rsid w:val="00DD52A3"/>
    <w:rsid w:val="00DD55A9"/>
    <w:rsid w:val="00DD5AB0"/>
    <w:rsid w:val="00DE44A6"/>
    <w:rsid w:val="00DE7C91"/>
    <w:rsid w:val="00DF1654"/>
    <w:rsid w:val="00E00D5B"/>
    <w:rsid w:val="00E06020"/>
    <w:rsid w:val="00E10D5B"/>
    <w:rsid w:val="00E12764"/>
    <w:rsid w:val="00E12C2E"/>
    <w:rsid w:val="00E21C95"/>
    <w:rsid w:val="00E23182"/>
    <w:rsid w:val="00E252EE"/>
    <w:rsid w:val="00E2628B"/>
    <w:rsid w:val="00E265F3"/>
    <w:rsid w:val="00E311A9"/>
    <w:rsid w:val="00E33AC6"/>
    <w:rsid w:val="00E600B9"/>
    <w:rsid w:val="00E67F0C"/>
    <w:rsid w:val="00E700B2"/>
    <w:rsid w:val="00E71B23"/>
    <w:rsid w:val="00E73576"/>
    <w:rsid w:val="00E76862"/>
    <w:rsid w:val="00E77195"/>
    <w:rsid w:val="00E77484"/>
    <w:rsid w:val="00E82FFE"/>
    <w:rsid w:val="00E863D5"/>
    <w:rsid w:val="00E910C5"/>
    <w:rsid w:val="00E95761"/>
    <w:rsid w:val="00E96D8B"/>
    <w:rsid w:val="00EA029E"/>
    <w:rsid w:val="00EA29B3"/>
    <w:rsid w:val="00EA40E8"/>
    <w:rsid w:val="00EA4619"/>
    <w:rsid w:val="00EC0060"/>
    <w:rsid w:val="00EC138E"/>
    <w:rsid w:val="00EC3482"/>
    <w:rsid w:val="00ED0DA4"/>
    <w:rsid w:val="00ED22E9"/>
    <w:rsid w:val="00ED2806"/>
    <w:rsid w:val="00ED51BE"/>
    <w:rsid w:val="00EE206E"/>
    <w:rsid w:val="00EE6CA9"/>
    <w:rsid w:val="00EE7A19"/>
    <w:rsid w:val="00EF60CA"/>
    <w:rsid w:val="00EF7646"/>
    <w:rsid w:val="00F01959"/>
    <w:rsid w:val="00F039D4"/>
    <w:rsid w:val="00F05A4E"/>
    <w:rsid w:val="00F13B7C"/>
    <w:rsid w:val="00F22851"/>
    <w:rsid w:val="00F22F08"/>
    <w:rsid w:val="00F26BBA"/>
    <w:rsid w:val="00F30DFE"/>
    <w:rsid w:val="00F35FD6"/>
    <w:rsid w:val="00F368EF"/>
    <w:rsid w:val="00F50CDF"/>
    <w:rsid w:val="00F50FB6"/>
    <w:rsid w:val="00F55014"/>
    <w:rsid w:val="00F7006C"/>
    <w:rsid w:val="00F72953"/>
    <w:rsid w:val="00F75475"/>
    <w:rsid w:val="00F843EF"/>
    <w:rsid w:val="00F8576D"/>
    <w:rsid w:val="00FA21E1"/>
    <w:rsid w:val="00FB1B82"/>
    <w:rsid w:val="00FB2141"/>
    <w:rsid w:val="00FB229F"/>
    <w:rsid w:val="00FB3B39"/>
    <w:rsid w:val="00FB6936"/>
    <w:rsid w:val="00FB69D1"/>
    <w:rsid w:val="00FB74F3"/>
    <w:rsid w:val="00FC0CD8"/>
    <w:rsid w:val="00FC4EDF"/>
    <w:rsid w:val="00FC6546"/>
    <w:rsid w:val="00FD051F"/>
    <w:rsid w:val="00FD5388"/>
    <w:rsid w:val="00FE6E21"/>
    <w:rsid w:val="00FF4AC3"/>
    <w:rsid w:val="00FF7530"/>
    <w:rsid w:val="0112363F"/>
    <w:rsid w:val="013730A5"/>
    <w:rsid w:val="013B0DE8"/>
    <w:rsid w:val="01704B98"/>
    <w:rsid w:val="01732366"/>
    <w:rsid w:val="01A17E30"/>
    <w:rsid w:val="01A87AFF"/>
    <w:rsid w:val="01B666C0"/>
    <w:rsid w:val="01C901A1"/>
    <w:rsid w:val="01E63300"/>
    <w:rsid w:val="01F134F6"/>
    <w:rsid w:val="0205236C"/>
    <w:rsid w:val="0217518B"/>
    <w:rsid w:val="021A09FD"/>
    <w:rsid w:val="0223031E"/>
    <w:rsid w:val="02300582"/>
    <w:rsid w:val="02755DFE"/>
    <w:rsid w:val="02917848"/>
    <w:rsid w:val="029717D8"/>
    <w:rsid w:val="029A1B3E"/>
    <w:rsid w:val="02A538E1"/>
    <w:rsid w:val="02B96468"/>
    <w:rsid w:val="02E828A9"/>
    <w:rsid w:val="030E5A2F"/>
    <w:rsid w:val="032B26AF"/>
    <w:rsid w:val="03323B24"/>
    <w:rsid w:val="034D6BB0"/>
    <w:rsid w:val="035F534D"/>
    <w:rsid w:val="03631C18"/>
    <w:rsid w:val="03661A20"/>
    <w:rsid w:val="038F265D"/>
    <w:rsid w:val="03BC7892"/>
    <w:rsid w:val="03C54999"/>
    <w:rsid w:val="03CE508A"/>
    <w:rsid w:val="03D25824"/>
    <w:rsid w:val="03DF1EFE"/>
    <w:rsid w:val="03E2554B"/>
    <w:rsid w:val="03E67016"/>
    <w:rsid w:val="03FE341B"/>
    <w:rsid w:val="041D05EF"/>
    <w:rsid w:val="043438CC"/>
    <w:rsid w:val="044955CA"/>
    <w:rsid w:val="044B1847"/>
    <w:rsid w:val="049802FF"/>
    <w:rsid w:val="04C81AE6"/>
    <w:rsid w:val="04F05A45"/>
    <w:rsid w:val="04F25C61"/>
    <w:rsid w:val="05045994"/>
    <w:rsid w:val="05047743"/>
    <w:rsid w:val="05132024"/>
    <w:rsid w:val="054A7702"/>
    <w:rsid w:val="058014BF"/>
    <w:rsid w:val="0587246B"/>
    <w:rsid w:val="058934F9"/>
    <w:rsid w:val="05AB5E10"/>
    <w:rsid w:val="05D84E57"/>
    <w:rsid w:val="05E03D0C"/>
    <w:rsid w:val="05FE4192"/>
    <w:rsid w:val="060F639F"/>
    <w:rsid w:val="06113EC5"/>
    <w:rsid w:val="062C51A3"/>
    <w:rsid w:val="06486258"/>
    <w:rsid w:val="065B5A88"/>
    <w:rsid w:val="066F6E3E"/>
    <w:rsid w:val="067508F8"/>
    <w:rsid w:val="067B4FB4"/>
    <w:rsid w:val="06A349AC"/>
    <w:rsid w:val="06AB60C8"/>
    <w:rsid w:val="06D03D80"/>
    <w:rsid w:val="071023CF"/>
    <w:rsid w:val="071F2612"/>
    <w:rsid w:val="072A29DC"/>
    <w:rsid w:val="07503E2A"/>
    <w:rsid w:val="076A0618"/>
    <w:rsid w:val="07AC02E9"/>
    <w:rsid w:val="07CA4C73"/>
    <w:rsid w:val="08314CF2"/>
    <w:rsid w:val="084722E3"/>
    <w:rsid w:val="087F780C"/>
    <w:rsid w:val="08A454C4"/>
    <w:rsid w:val="08A46AC2"/>
    <w:rsid w:val="08AC45F4"/>
    <w:rsid w:val="08B715B6"/>
    <w:rsid w:val="08F65A9A"/>
    <w:rsid w:val="093525C0"/>
    <w:rsid w:val="093920B1"/>
    <w:rsid w:val="093A4C95"/>
    <w:rsid w:val="095C5D9F"/>
    <w:rsid w:val="095E1B17"/>
    <w:rsid w:val="09622C8A"/>
    <w:rsid w:val="0970184A"/>
    <w:rsid w:val="09722434"/>
    <w:rsid w:val="09BD2543"/>
    <w:rsid w:val="09CB5366"/>
    <w:rsid w:val="09E63BE5"/>
    <w:rsid w:val="09F2400E"/>
    <w:rsid w:val="09FB1021"/>
    <w:rsid w:val="0A051F93"/>
    <w:rsid w:val="0A2543E3"/>
    <w:rsid w:val="0A2F7010"/>
    <w:rsid w:val="0A4A3E4A"/>
    <w:rsid w:val="0A514413"/>
    <w:rsid w:val="0A670558"/>
    <w:rsid w:val="0A8D02CC"/>
    <w:rsid w:val="0AAE262A"/>
    <w:rsid w:val="0AB17B03"/>
    <w:rsid w:val="0ACC2AB1"/>
    <w:rsid w:val="0AFA4756"/>
    <w:rsid w:val="0B0C10FF"/>
    <w:rsid w:val="0B1A7CC0"/>
    <w:rsid w:val="0B2823DD"/>
    <w:rsid w:val="0B3E5FBA"/>
    <w:rsid w:val="0B4E34C6"/>
    <w:rsid w:val="0B5605CC"/>
    <w:rsid w:val="0BC8771C"/>
    <w:rsid w:val="0BD62973"/>
    <w:rsid w:val="0C1D7685"/>
    <w:rsid w:val="0C3E60CD"/>
    <w:rsid w:val="0C476893"/>
    <w:rsid w:val="0C4F1BEB"/>
    <w:rsid w:val="0C50396E"/>
    <w:rsid w:val="0C517711"/>
    <w:rsid w:val="0C6520DB"/>
    <w:rsid w:val="0CC04897"/>
    <w:rsid w:val="0CC51EAD"/>
    <w:rsid w:val="0CCE0D62"/>
    <w:rsid w:val="0CFA1B57"/>
    <w:rsid w:val="0D0F4ED6"/>
    <w:rsid w:val="0D1D2F6F"/>
    <w:rsid w:val="0D60376D"/>
    <w:rsid w:val="0D6E7E4F"/>
    <w:rsid w:val="0D731909"/>
    <w:rsid w:val="0DAE649D"/>
    <w:rsid w:val="0DB57E04"/>
    <w:rsid w:val="0DC91529"/>
    <w:rsid w:val="0DF27F5C"/>
    <w:rsid w:val="0E0B7D94"/>
    <w:rsid w:val="0E440BB0"/>
    <w:rsid w:val="0E545297"/>
    <w:rsid w:val="0E6B25E0"/>
    <w:rsid w:val="0EB675B9"/>
    <w:rsid w:val="0EB67D00"/>
    <w:rsid w:val="0EC403A2"/>
    <w:rsid w:val="0EDE1004"/>
    <w:rsid w:val="0EE10C2D"/>
    <w:rsid w:val="0F032819"/>
    <w:rsid w:val="0F2C75EB"/>
    <w:rsid w:val="0F694D72"/>
    <w:rsid w:val="0F7A7366"/>
    <w:rsid w:val="0F8971C2"/>
    <w:rsid w:val="0FA62D3A"/>
    <w:rsid w:val="0FD21598"/>
    <w:rsid w:val="0FD83CA6"/>
    <w:rsid w:val="0FDF6DE2"/>
    <w:rsid w:val="10030D22"/>
    <w:rsid w:val="10152804"/>
    <w:rsid w:val="102C6932"/>
    <w:rsid w:val="10321608"/>
    <w:rsid w:val="10501A8E"/>
    <w:rsid w:val="10507CE0"/>
    <w:rsid w:val="10613C9B"/>
    <w:rsid w:val="106341CD"/>
    <w:rsid w:val="107240FA"/>
    <w:rsid w:val="107E64A0"/>
    <w:rsid w:val="10935E18"/>
    <w:rsid w:val="10BA2DBA"/>
    <w:rsid w:val="10DC09D3"/>
    <w:rsid w:val="110F36F7"/>
    <w:rsid w:val="11140D0D"/>
    <w:rsid w:val="11322BE5"/>
    <w:rsid w:val="115766B7"/>
    <w:rsid w:val="115D26B4"/>
    <w:rsid w:val="11867E5D"/>
    <w:rsid w:val="11A6405B"/>
    <w:rsid w:val="11BF07CF"/>
    <w:rsid w:val="11D25CA0"/>
    <w:rsid w:val="11EB5F12"/>
    <w:rsid w:val="11EC57E6"/>
    <w:rsid w:val="12045226"/>
    <w:rsid w:val="120A783A"/>
    <w:rsid w:val="12244F80"/>
    <w:rsid w:val="1283614B"/>
    <w:rsid w:val="130628D8"/>
    <w:rsid w:val="130F5C30"/>
    <w:rsid w:val="1319085D"/>
    <w:rsid w:val="13313D59"/>
    <w:rsid w:val="13370CE3"/>
    <w:rsid w:val="13405DEA"/>
    <w:rsid w:val="135427C6"/>
    <w:rsid w:val="135E2714"/>
    <w:rsid w:val="136E7DCD"/>
    <w:rsid w:val="13781A27"/>
    <w:rsid w:val="13840E20"/>
    <w:rsid w:val="13B3480E"/>
    <w:rsid w:val="13F20092"/>
    <w:rsid w:val="14025795"/>
    <w:rsid w:val="141571BE"/>
    <w:rsid w:val="145E684C"/>
    <w:rsid w:val="14B338CD"/>
    <w:rsid w:val="14B46A8F"/>
    <w:rsid w:val="15082937"/>
    <w:rsid w:val="1528122B"/>
    <w:rsid w:val="152D2C78"/>
    <w:rsid w:val="152F4368"/>
    <w:rsid w:val="154A4DA1"/>
    <w:rsid w:val="15547FDE"/>
    <w:rsid w:val="15610299"/>
    <w:rsid w:val="15836462"/>
    <w:rsid w:val="15951298"/>
    <w:rsid w:val="15D60C87"/>
    <w:rsid w:val="15F03903"/>
    <w:rsid w:val="15F1161D"/>
    <w:rsid w:val="16157A01"/>
    <w:rsid w:val="16290F14"/>
    <w:rsid w:val="16435C83"/>
    <w:rsid w:val="16530BCE"/>
    <w:rsid w:val="1674297A"/>
    <w:rsid w:val="16845276"/>
    <w:rsid w:val="168A61B7"/>
    <w:rsid w:val="168D2708"/>
    <w:rsid w:val="16AE1DDF"/>
    <w:rsid w:val="16BA3A50"/>
    <w:rsid w:val="16CB4564"/>
    <w:rsid w:val="16D66683"/>
    <w:rsid w:val="1715758D"/>
    <w:rsid w:val="17253C74"/>
    <w:rsid w:val="1726179A"/>
    <w:rsid w:val="17531E09"/>
    <w:rsid w:val="17590DDA"/>
    <w:rsid w:val="17593CCF"/>
    <w:rsid w:val="17650E9E"/>
    <w:rsid w:val="17716EB9"/>
    <w:rsid w:val="177B5642"/>
    <w:rsid w:val="17935082"/>
    <w:rsid w:val="17BA0860"/>
    <w:rsid w:val="17BF5E77"/>
    <w:rsid w:val="17C07CF8"/>
    <w:rsid w:val="17C47411"/>
    <w:rsid w:val="17EC5B05"/>
    <w:rsid w:val="17F02970"/>
    <w:rsid w:val="17F84EE5"/>
    <w:rsid w:val="18117D55"/>
    <w:rsid w:val="182056ED"/>
    <w:rsid w:val="18653FFC"/>
    <w:rsid w:val="18826EA4"/>
    <w:rsid w:val="18B21538"/>
    <w:rsid w:val="18B52DD6"/>
    <w:rsid w:val="18C43019"/>
    <w:rsid w:val="18EF5A71"/>
    <w:rsid w:val="18FA651D"/>
    <w:rsid w:val="18FD33A8"/>
    <w:rsid w:val="19072600"/>
    <w:rsid w:val="190B50EC"/>
    <w:rsid w:val="191F0F43"/>
    <w:rsid w:val="192F4A71"/>
    <w:rsid w:val="19393A07"/>
    <w:rsid w:val="19404D95"/>
    <w:rsid w:val="19527FF1"/>
    <w:rsid w:val="19913C87"/>
    <w:rsid w:val="19C257AA"/>
    <w:rsid w:val="19F619C4"/>
    <w:rsid w:val="19F65454"/>
    <w:rsid w:val="1A073B05"/>
    <w:rsid w:val="1A2975D8"/>
    <w:rsid w:val="1A3C3108"/>
    <w:rsid w:val="1A444411"/>
    <w:rsid w:val="1A473F02"/>
    <w:rsid w:val="1ADB7AD1"/>
    <w:rsid w:val="1AE67E9B"/>
    <w:rsid w:val="1B286C13"/>
    <w:rsid w:val="1B3E3B5F"/>
    <w:rsid w:val="1B481CDF"/>
    <w:rsid w:val="1BD96DDB"/>
    <w:rsid w:val="1C44694B"/>
    <w:rsid w:val="1C60574F"/>
    <w:rsid w:val="1C6C5EA1"/>
    <w:rsid w:val="1C6E58CA"/>
    <w:rsid w:val="1C901B90"/>
    <w:rsid w:val="1C914402"/>
    <w:rsid w:val="1C9D5011"/>
    <w:rsid w:val="1CA218C3"/>
    <w:rsid w:val="1CA613B3"/>
    <w:rsid w:val="1CA94A00"/>
    <w:rsid w:val="1CED6FE2"/>
    <w:rsid w:val="1D13456F"/>
    <w:rsid w:val="1D3123AC"/>
    <w:rsid w:val="1D446EFB"/>
    <w:rsid w:val="1D6D1ED1"/>
    <w:rsid w:val="1D9C27B6"/>
    <w:rsid w:val="1DA6791E"/>
    <w:rsid w:val="1DCD471E"/>
    <w:rsid w:val="1DFB74DD"/>
    <w:rsid w:val="1E14059F"/>
    <w:rsid w:val="1E5135A1"/>
    <w:rsid w:val="1E5D0198"/>
    <w:rsid w:val="1E812ECA"/>
    <w:rsid w:val="1E8A260F"/>
    <w:rsid w:val="1E917E41"/>
    <w:rsid w:val="1EA71413"/>
    <w:rsid w:val="1ECC0E79"/>
    <w:rsid w:val="1ED32208"/>
    <w:rsid w:val="1EDF4E67"/>
    <w:rsid w:val="1EFD2680"/>
    <w:rsid w:val="1F0625DD"/>
    <w:rsid w:val="1F091823"/>
    <w:rsid w:val="1F3128D3"/>
    <w:rsid w:val="1F394761"/>
    <w:rsid w:val="1F444EB4"/>
    <w:rsid w:val="1F4D1FBA"/>
    <w:rsid w:val="1FC5305C"/>
    <w:rsid w:val="1FD06848"/>
    <w:rsid w:val="1FD224BF"/>
    <w:rsid w:val="1FD812EC"/>
    <w:rsid w:val="1FDC50EC"/>
    <w:rsid w:val="1FF218B4"/>
    <w:rsid w:val="1FF40688"/>
    <w:rsid w:val="20976AB4"/>
    <w:rsid w:val="20A976C4"/>
    <w:rsid w:val="20CC5161"/>
    <w:rsid w:val="20ED750E"/>
    <w:rsid w:val="210451D9"/>
    <w:rsid w:val="210E5779"/>
    <w:rsid w:val="211563F1"/>
    <w:rsid w:val="2116462E"/>
    <w:rsid w:val="21212DF9"/>
    <w:rsid w:val="21333432"/>
    <w:rsid w:val="21537630"/>
    <w:rsid w:val="216A0307"/>
    <w:rsid w:val="21A1039B"/>
    <w:rsid w:val="21A97250"/>
    <w:rsid w:val="21BC6F83"/>
    <w:rsid w:val="21DE15EF"/>
    <w:rsid w:val="21F46E37"/>
    <w:rsid w:val="22032E04"/>
    <w:rsid w:val="22482F0D"/>
    <w:rsid w:val="22CD081E"/>
    <w:rsid w:val="22CE3412"/>
    <w:rsid w:val="230B4F2D"/>
    <w:rsid w:val="23411E36"/>
    <w:rsid w:val="237044C9"/>
    <w:rsid w:val="237856E8"/>
    <w:rsid w:val="23802B27"/>
    <w:rsid w:val="23893FA3"/>
    <w:rsid w:val="239D1036"/>
    <w:rsid w:val="23B11C56"/>
    <w:rsid w:val="23C245F9"/>
    <w:rsid w:val="23CB5BA3"/>
    <w:rsid w:val="24077A99"/>
    <w:rsid w:val="242D5F16"/>
    <w:rsid w:val="245060A9"/>
    <w:rsid w:val="246C73EB"/>
    <w:rsid w:val="248134DD"/>
    <w:rsid w:val="248A06DA"/>
    <w:rsid w:val="24C04FDC"/>
    <w:rsid w:val="25162E4E"/>
    <w:rsid w:val="25493224"/>
    <w:rsid w:val="255B5A58"/>
    <w:rsid w:val="25CC7C42"/>
    <w:rsid w:val="2611141F"/>
    <w:rsid w:val="2626701A"/>
    <w:rsid w:val="26320A21"/>
    <w:rsid w:val="265754CC"/>
    <w:rsid w:val="265D0C80"/>
    <w:rsid w:val="26727185"/>
    <w:rsid w:val="26982560"/>
    <w:rsid w:val="26A41E2D"/>
    <w:rsid w:val="26AC3A6A"/>
    <w:rsid w:val="26AF70B6"/>
    <w:rsid w:val="26CA2142"/>
    <w:rsid w:val="26DC6E48"/>
    <w:rsid w:val="26EE1B65"/>
    <w:rsid w:val="26FC6074"/>
    <w:rsid w:val="270E64D3"/>
    <w:rsid w:val="271635D9"/>
    <w:rsid w:val="274F46CB"/>
    <w:rsid w:val="275068CA"/>
    <w:rsid w:val="275070B5"/>
    <w:rsid w:val="27790E2C"/>
    <w:rsid w:val="2791219C"/>
    <w:rsid w:val="27BC50F8"/>
    <w:rsid w:val="27D226CF"/>
    <w:rsid w:val="2802590C"/>
    <w:rsid w:val="28052EE7"/>
    <w:rsid w:val="2822297C"/>
    <w:rsid w:val="285063E9"/>
    <w:rsid w:val="28763103"/>
    <w:rsid w:val="28906FD2"/>
    <w:rsid w:val="28920A3E"/>
    <w:rsid w:val="28B04503"/>
    <w:rsid w:val="28C11323"/>
    <w:rsid w:val="28E374EB"/>
    <w:rsid w:val="290336EA"/>
    <w:rsid w:val="29325D7D"/>
    <w:rsid w:val="293C2472"/>
    <w:rsid w:val="294D6A2E"/>
    <w:rsid w:val="298F31CF"/>
    <w:rsid w:val="299B5A21"/>
    <w:rsid w:val="29A924E3"/>
    <w:rsid w:val="29B82726"/>
    <w:rsid w:val="29C27101"/>
    <w:rsid w:val="29D67050"/>
    <w:rsid w:val="29F960C4"/>
    <w:rsid w:val="2A4E6BE6"/>
    <w:rsid w:val="2A957722"/>
    <w:rsid w:val="2A9D4B84"/>
    <w:rsid w:val="2AA34D9A"/>
    <w:rsid w:val="2AB949A8"/>
    <w:rsid w:val="2AC305F9"/>
    <w:rsid w:val="2AF0321F"/>
    <w:rsid w:val="2AF07C9E"/>
    <w:rsid w:val="2AF711EA"/>
    <w:rsid w:val="2B105B42"/>
    <w:rsid w:val="2B2D5765"/>
    <w:rsid w:val="2B3F35F1"/>
    <w:rsid w:val="2B7E52A9"/>
    <w:rsid w:val="2B9A4D4C"/>
    <w:rsid w:val="2BAE7C93"/>
    <w:rsid w:val="2BB1742D"/>
    <w:rsid w:val="2BC17A96"/>
    <w:rsid w:val="2BCC24B9"/>
    <w:rsid w:val="2BDA2D10"/>
    <w:rsid w:val="2BF47C44"/>
    <w:rsid w:val="2BF65788"/>
    <w:rsid w:val="2BF714DA"/>
    <w:rsid w:val="2C047EA4"/>
    <w:rsid w:val="2C5D75B5"/>
    <w:rsid w:val="2C9A00F3"/>
    <w:rsid w:val="2CA24CF9"/>
    <w:rsid w:val="2CA945A8"/>
    <w:rsid w:val="2CAC3FD1"/>
    <w:rsid w:val="2CB43679"/>
    <w:rsid w:val="2CC118F2"/>
    <w:rsid w:val="2CE83322"/>
    <w:rsid w:val="2D2F71A3"/>
    <w:rsid w:val="2D412A32"/>
    <w:rsid w:val="2D4349FC"/>
    <w:rsid w:val="2D46629B"/>
    <w:rsid w:val="2D480265"/>
    <w:rsid w:val="2D6706EB"/>
    <w:rsid w:val="2D7746A6"/>
    <w:rsid w:val="2DF11BC1"/>
    <w:rsid w:val="2E23315A"/>
    <w:rsid w:val="2E790694"/>
    <w:rsid w:val="2E8D23D3"/>
    <w:rsid w:val="2EA8260F"/>
    <w:rsid w:val="2EBD258D"/>
    <w:rsid w:val="2EBD433B"/>
    <w:rsid w:val="2F0D52C2"/>
    <w:rsid w:val="2F137C10"/>
    <w:rsid w:val="2F285C58"/>
    <w:rsid w:val="2F41392E"/>
    <w:rsid w:val="2F5838AD"/>
    <w:rsid w:val="2F725125"/>
    <w:rsid w:val="2F7924A1"/>
    <w:rsid w:val="2F8337D6"/>
    <w:rsid w:val="2FA84FEB"/>
    <w:rsid w:val="2FB83480"/>
    <w:rsid w:val="2FD44006"/>
    <w:rsid w:val="2FE241DC"/>
    <w:rsid w:val="2FFE4C0B"/>
    <w:rsid w:val="30000983"/>
    <w:rsid w:val="301B5F18"/>
    <w:rsid w:val="30350D7C"/>
    <w:rsid w:val="30847806"/>
    <w:rsid w:val="30C3032E"/>
    <w:rsid w:val="30CC4D09"/>
    <w:rsid w:val="30F61AE5"/>
    <w:rsid w:val="316F4012"/>
    <w:rsid w:val="31B1462B"/>
    <w:rsid w:val="31BC2B29"/>
    <w:rsid w:val="31C36410"/>
    <w:rsid w:val="31CF687B"/>
    <w:rsid w:val="3235482C"/>
    <w:rsid w:val="32582CF8"/>
    <w:rsid w:val="32AC4DF2"/>
    <w:rsid w:val="32D92DE9"/>
    <w:rsid w:val="32DF6F75"/>
    <w:rsid w:val="32E427DE"/>
    <w:rsid w:val="32EC3D28"/>
    <w:rsid w:val="32F32A21"/>
    <w:rsid w:val="331E4C41"/>
    <w:rsid w:val="333A6BDB"/>
    <w:rsid w:val="336F1825"/>
    <w:rsid w:val="33B470C2"/>
    <w:rsid w:val="33B514D5"/>
    <w:rsid w:val="33B95A18"/>
    <w:rsid w:val="33C323F3"/>
    <w:rsid w:val="33EA7980"/>
    <w:rsid w:val="34076784"/>
    <w:rsid w:val="341C1B03"/>
    <w:rsid w:val="3436568D"/>
    <w:rsid w:val="346468BD"/>
    <w:rsid w:val="346C65E7"/>
    <w:rsid w:val="34824EE6"/>
    <w:rsid w:val="348555E7"/>
    <w:rsid w:val="348C4EDB"/>
    <w:rsid w:val="34983F3A"/>
    <w:rsid w:val="3498562E"/>
    <w:rsid w:val="34D01D12"/>
    <w:rsid w:val="34DD1293"/>
    <w:rsid w:val="34FD36E3"/>
    <w:rsid w:val="351F5467"/>
    <w:rsid w:val="3529097C"/>
    <w:rsid w:val="35325A82"/>
    <w:rsid w:val="358F6978"/>
    <w:rsid w:val="35A65B28"/>
    <w:rsid w:val="35A745B6"/>
    <w:rsid w:val="35BC70FA"/>
    <w:rsid w:val="35C97A69"/>
    <w:rsid w:val="35ED7BFB"/>
    <w:rsid w:val="361E5DAE"/>
    <w:rsid w:val="36237179"/>
    <w:rsid w:val="36285BF5"/>
    <w:rsid w:val="36470B35"/>
    <w:rsid w:val="364B118D"/>
    <w:rsid w:val="364C2B74"/>
    <w:rsid w:val="365D6B2F"/>
    <w:rsid w:val="36623B7E"/>
    <w:rsid w:val="36626903"/>
    <w:rsid w:val="36653C36"/>
    <w:rsid w:val="36723C5D"/>
    <w:rsid w:val="367E62E2"/>
    <w:rsid w:val="36853990"/>
    <w:rsid w:val="36A71B58"/>
    <w:rsid w:val="36BD137C"/>
    <w:rsid w:val="36D861B6"/>
    <w:rsid w:val="370C1614"/>
    <w:rsid w:val="3797445D"/>
    <w:rsid w:val="37BB286D"/>
    <w:rsid w:val="37D270A9"/>
    <w:rsid w:val="37DA5F5D"/>
    <w:rsid w:val="37E33064"/>
    <w:rsid w:val="37E666B0"/>
    <w:rsid w:val="37F92341"/>
    <w:rsid w:val="38042549"/>
    <w:rsid w:val="382363F0"/>
    <w:rsid w:val="384855BD"/>
    <w:rsid w:val="384C6E5B"/>
    <w:rsid w:val="385C6972"/>
    <w:rsid w:val="387D5266"/>
    <w:rsid w:val="38926838"/>
    <w:rsid w:val="38934A8A"/>
    <w:rsid w:val="38B13162"/>
    <w:rsid w:val="38FA68B7"/>
    <w:rsid w:val="39074CB7"/>
    <w:rsid w:val="392534B4"/>
    <w:rsid w:val="392B45C2"/>
    <w:rsid w:val="39586050"/>
    <w:rsid w:val="395F496C"/>
    <w:rsid w:val="3971469F"/>
    <w:rsid w:val="39787A2A"/>
    <w:rsid w:val="398C14D9"/>
    <w:rsid w:val="398E34A3"/>
    <w:rsid w:val="3995213C"/>
    <w:rsid w:val="39A131D7"/>
    <w:rsid w:val="39AE1450"/>
    <w:rsid w:val="39B649AE"/>
    <w:rsid w:val="39BC3406"/>
    <w:rsid w:val="39C26CA9"/>
    <w:rsid w:val="39C72511"/>
    <w:rsid w:val="39D54C2E"/>
    <w:rsid w:val="3A127C30"/>
    <w:rsid w:val="3A267238"/>
    <w:rsid w:val="3A342D49"/>
    <w:rsid w:val="3A4D0C68"/>
    <w:rsid w:val="3A961AFC"/>
    <w:rsid w:val="3AA20FB4"/>
    <w:rsid w:val="3AB22EB8"/>
    <w:rsid w:val="3AB24F6F"/>
    <w:rsid w:val="3AE96BE3"/>
    <w:rsid w:val="3AEE6870"/>
    <w:rsid w:val="3B0D21A6"/>
    <w:rsid w:val="3B1B6E04"/>
    <w:rsid w:val="3B4007CD"/>
    <w:rsid w:val="3B732951"/>
    <w:rsid w:val="3B7364AD"/>
    <w:rsid w:val="3B9A612F"/>
    <w:rsid w:val="3BAE5737"/>
    <w:rsid w:val="3BB44039"/>
    <w:rsid w:val="3BB645EB"/>
    <w:rsid w:val="3BB836C9"/>
    <w:rsid w:val="3C017F5D"/>
    <w:rsid w:val="3C047A4D"/>
    <w:rsid w:val="3C073099"/>
    <w:rsid w:val="3C1E28BD"/>
    <w:rsid w:val="3C215F09"/>
    <w:rsid w:val="3C4816E7"/>
    <w:rsid w:val="3C7D7E28"/>
    <w:rsid w:val="3C8B3CCA"/>
    <w:rsid w:val="3C925059"/>
    <w:rsid w:val="3CF5063A"/>
    <w:rsid w:val="3CFC3141"/>
    <w:rsid w:val="3D0A4BEF"/>
    <w:rsid w:val="3D1617E6"/>
    <w:rsid w:val="3D29776B"/>
    <w:rsid w:val="3D30215D"/>
    <w:rsid w:val="3D36038C"/>
    <w:rsid w:val="3D3E0D3C"/>
    <w:rsid w:val="3D424389"/>
    <w:rsid w:val="3D4520CB"/>
    <w:rsid w:val="3D793B23"/>
    <w:rsid w:val="3D891FB8"/>
    <w:rsid w:val="3DA74B34"/>
    <w:rsid w:val="3DB46334"/>
    <w:rsid w:val="3DB80AEF"/>
    <w:rsid w:val="3DD31485"/>
    <w:rsid w:val="3DF064DB"/>
    <w:rsid w:val="3EAD43CC"/>
    <w:rsid w:val="3EB70DA6"/>
    <w:rsid w:val="3EE53B65"/>
    <w:rsid w:val="3EEE3B85"/>
    <w:rsid w:val="3F086863"/>
    <w:rsid w:val="3F1735F3"/>
    <w:rsid w:val="3F185CE9"/>
    <w:rsid w:val="3F1F403E"/>
    <w:rsid w:val="3F3C12AC"/>
    <w:rsid w:val="3F3E7503"/>
    <w:rsid w:val="3F465470"/>
    <w:rsid w:val="3F695128"/>
    <w:rsid w:val="3F6F78D3"/>
    <w:rsid w:val="3F8939FE"/>
    <w:rsid w:val="3F93711E"/>
    <w:rsid w:val="3F963DEC"/>
    <w:rsid w:val="3F9B06C8"/>
    <w:rsid w:val="3FB866E5"/>
    <w:rsid w:val="3FB973AB"/>
    <w:rsid w:val="3FE61943"/>
    <w:rsid w:val="40041DC9"/>
    <w:rsid w:val="40167D4F"/>
    <w:rsid w:val="407C22A8"/>
    <w:rsid w:val="408E3D89"/>
    <w:rsid w:val="40A35A86"/>
    <w:rsid w:val="40BE2E2C"/>
    <w:rsid w:val="40C250A4"/>
    <w:rsid w:val="40F3592C"/>
    <w:rsid w:val="411E335F"/>
    <w:rsid w:val="413466DE"/>
    <w:rsid w:val="4158661E"/>
    <w:rsid w:val="417D62D7"/>
    <w:rsid w:val="418A0708"/>
    <w:rsid w:val="41CE08E1"/>
    <w:rsid w:val="42000CF9"/>
    <w:rsid w:val="42107612"/>
    <w:rsid w:val="42470693"/>
    <w:rsid w:val="42550AED"/>
    <w:rsid w:val="428C60A6"/>
    <w:rsid w:val="42AA7A3E"/>
    <w:rsid w:val="42AB6E74"/>
    <w:rsid w:val="42B850ED"/>
    <w:rsid w:val="42E63A08"/>
    <w:rsid w:val="42FD1EF7"/>
    <w:rsid w:val="43091739"/>
    <w:rsid w:val="43261317"/>
    <w:rsid w:val="432D7889"/>
    <w:rsid w:val="43362BE2"/>
    <w:rsid w:val="433A3AE4"/>
    <w:rsid w:val="4352109E"/>
    <w:rsid w:val="4364681C"/>
    <w:rsid w:val="4373683C"/>
    <w:rsid w:val="43C95804"/>
    <w:rsid w:val="44011FAB"/>
    <w:rsid w:val="4420119C"/>
    <w:rsid w:val="44286DC0"/>
    <w:rsid w:val="44354C47"/>
    <w:rsid w:val="443D58AA"/>
    <w:rsid w:val="444F02BA"/>
    <w:rsid w:val="44642FB5"/>
    <w:rsid w:val="448654A3"/>
    <w:rsid w:val="448B0D0B"/>
    <w:rsid w:val="449F0313"/>
    <w:rsid w:val="44DF70AD"/>
    <w:rsid w:val="45192324"/>
    <w:rsid w:val="452443BF"/>
    <w:rsid w:val="452A0524"/>
    <w:rsid w:val="453306C9"/>
    <w:rsid w:val="4557299B"/>
    <w:rsid w:val="456652D4"/>
    <w:rsid w:val="456917B0"/>
    <w:rsid w:val="45AD2F03"/>
    <w:rsid w:val="45B77595"/>
    <w:rsid w:val="45B84DAD"/>
    <w:rsid w:val="45CA5708"/>
    <w:rsid w:val="45CA5863"/>
    <w:rsid w:val="45D43FEC"/>
    <w:rsid w:val="45E11E49"/>
    <w:rsid w:val="45ED1125"/>
    <w:rsid w:val="45F60406"/>
    <w:rsid w:val="46054AED"/>
    <w:rsid w:val="460F771A"/>
    <w:rsid w:val="463B22BD"/>
    <w:rsid w:val="46401681"/>
    <w:rsid w:val="46405B25"/>
    <w:rsid w:val="46562339"/>
    <w:rsid w:val="46701873"/>
    <w:rsid w:val="468A6DA0"/>
    <w:rsid w:val="46A41C10"/>
    <w:rsid w:val="46FA1B4E"/>
    <w:rsid w:val="47215957"/>
    <w:rsid w:val="472D7C99"/>
    <w:rsid w:val="472E39BC"/>
    <w:rsid w:val="474B6530"/>
    <w:rsid w:val="475573AE"/>
    <w:rsid w:val="4756065D"/>
    <w:rsid w:val="47677770"/>
    <w:rsid w:val="476E221E"/>
    <w:rsid w:val="477C493B"/>
    <w:rsid w:val="47AA76FA"/>
    <w:rsid w:val="47CA38F8"/>
    <w:rsid w:val="482F3E5D"/>
    <w:rsid w:val="4843385D"/>
    <w:rsid w:val="485756B9"/>
    <w:rsid w:val="48773972"/>
    <w:rsid w:val="48802209"/>
    <w:rsid w:val="48A24A28"/>
    <w:rsid w:val="48AC1250"/>
    <w:rsid w:val="48D84455"/>
    <w:rsid w:val="48FC21D7"/>
    <w:rsid w:val="49203F93"/>
    <w:rsid w:val="49227764"/>
    <w:rsid w:val="496164DE"/>
    <w:rsid w:val="496D22BF"/>
    <w:rsid w:val="499E503D"/>
    <w:rsid w:val="49A53E35"/>
    <w:rsid w:val="49AA39E1"/>
    <w:rsid w:val="49AD34D2"/>
    <w:rsid w:val="49AD3738"/>
    <w:rsid w:val="49AF774E"/>
    <w:rsid w:val="49D04EAB"/>
    <w:rsid w:val="49DF6EAB"/>
    <w:rsid w:val="49E05655"/>
    <w:rsid w:val="4A002960"/>
    <w:rsid w:val="4A0812A6"/>
    <w:rsid w:val="4A286FFC"/>
    <w:rsid w:val="4A325785"/>
    <w:rsid w:val="4A331C29"/>
    <w:rsid w:val="4A38723F"/>
    <w:rsid w:val="4A431740"/>
    <w:rsid w:val="4A851D59"/>
    <w:rsid w:val="4A875AD1"/>
    <w:rsid w:val="4AB32A95"/>
    <w:rsid w:val="4AC73E3C"/>
    <w:rsid w:val="4ADF76BB"/>
    <w:rsid w:val="4AF03B50"/>
    <w:rsid w:val="4B187071"/>
    <w:rsid w:val="4B217CD3"/>
    <w:rsid w:val="4B296B88"/>
    <w:rsid w:val="4B315A3D"/>
    <w:rsid w:val="4B351E25"/>
    <w:rsid w:val="4B79502C"/>
    <w:rsid w:val="4BDE5BC4"/>
    <w:rsid w:val="4BE62CCB"/>
    <w:rsid w:val="4BEF1B80"/>
    <w:rsid w:val="4C014589"/>
    <w:rsid w:val="4C1E06B7"/>
    <w:rsid w:val="4C251A45"/>
    <w:rsid w:val="4C651E42"/>
    <w:rsid w:val="4C846A1B"/>
    <w:rsid w:val="4C8F5111"/>
    <w:rsid w:val="4CA010CC"/>
    <w:rsid w:val="4CAA1F4A"/>
    <w:rsid w:val="4CAF3448"/>
    <w:rsid w:val="4CBB39D1"/>
    <w:rsid w:val="4CBF0DBD"/>
    <w:rsid w:val="4CC27294"/>
    <w:rsid w:val="4CC748AA"/>
    <w:rsid w:val="4CCA0D79"/>
    <w:rsid w:val="4CDB4896"/>
    <w:rsid w:val="4CF65190"/>
    <w:rsid w:val="4D021D86"/>
    <w:rsid w:val="4D096C71"/>
    <w:rsid w:val="4D0E2731"/>
    <w:rsid w:val="4D2252AB"/>
    <w:rsid w:val="4D3D4B6D"/>
    <w:rsid w:val="4D471D29"/>
    <w:rsid w:val="4D662315"/>
    <w:rsid w:val="4D6E5662"/>
    <w:rsid w:val="4D7B7443"/>
    <w:rsid w:val="4DAD54A5"/>
    <w:rsid w:val="4DC03108"/>
    <w:rsid w:val="4DDA21D6"/>
    <w:rsid w:val="4DEA6AA2"/>
    <w:rsid w:val="4E395334"/>
    <w:rsid w:val="4E461F03"/>
    <w:rsid w:val="4E49696E"/>
    <w:rsid w:val="4EB17876"/>
    <w:rsid w:val="4F0A0A7E"/>
    <w:rsid w:val="4F10078B"/>
    <w:rsid w:val="4F1638C7"/>
    <w:rsid w:val="4F195165"/>
    <w:rsid w:val="4F205BA6"/>
    <w:rsid w:val="4F4B5F47"/>
    <w:rsid w:val="4F4F4D75"/>
    <w:rsid w:val="4F8847C5"/>
    <w:rsid w:val="4F895E47"/>
    <w:rsid w:val="4F9547EC"/>
    <w:rsid w:val="4FB053F7"/>
    <w:rsid w:val="4FC82E13"/>
    <w:rsid w:val="4FCB3ED2"/>
    <w:rsid w:val="4FD73DD8"/>
    <w:rsid w:val="4FEB01C7"/>
    <w:rsid w:val="4FEC137C"/>
    <w:rsid w:val="4FF5172F"/>
    <w:rsid w:val="50065A15"/>
    <w:rsid w:val="5009288C"/>
    <w:rsid w:val="501222E0"/>
    <w:rsid w:val="50290F96"/>
    <w:rsid w:val="502A587C"/>
    <w:rsid w:val="502F05D6"/>
    <w:rsid w:val="50593A6B"/>
    <w:rsid w:val="50827466"/>
    <w:rsid w:val="508D1967"/>
    <w:rsid w:val="50F6575E"/>
    <w:rsid w:val="50F73284"/>
    <w:rsid w:val="510A5B45"/>
    <w:rsid w:val="511A45CC"/>
    <w:rsid w:val="513242BC"/>
    <w:rsid w:val="5133250E"/>
    <w:rsid w:val="514566E6"/>
    <w:rsid w:val="5159089C"/>
    <w:rsid w:val="515D57DD"/>
    <w:rsid w:val="51624BA2"/>
    <w:rsid w:val="5167006D"/>
    <w:rsid w:val="51736DAF"/>
    <w:rsid w:val="518C60C3"/>
    <w:rsid w:val="51BA2C30"/>
    <w:rsid w:val="51BA49DE"/>
    <w:rsid w:val="51C84558"/>
    <w:rsid w:val="51D11D27"/>
    <w:rsid w:val="51DD247A"/>
    <w:rsid w:val="51E90A4D"/>
    <w:rsid w:val="52045C59"/>
    <w:rsid w:val="521F0CE5"/>
    <w:rsid w:val="52485D4E"/>
    <w:rsid w:val="524E5126"/>
    <w:rsid w:val="52612496"/>
    <w:rsid w:val="527A5F1B"/>
    <w:rsid w:val="5285323E"/>
    <w:rsid w:val="52BC29D7"/>
    <w:rsid w:val="52C06024"/>
    <w:rsid w:val="52C61160"/>
    <w:rsid w:val="52E55A8A"/>
    <w:rsid w:val="52EA30A1"/>
    <w:rsid w:val="537C375A"/>
    <w:rsid w:val="53B37216"/>
    <w:rsid w:val="53D63625"/>
    <w:rsid w:val="53E45D42"/>
    <w:rsid w:val="540B47E8"/>
    <w:rsid w:val="540C7DCC"/>
    <w:rsid w:val="543520C8"/>
    <w:rsid w:val="545C7FCE"/>
    <w:rsid w:val="547075D6"/>
    <w:rsid w:val="54AA0D3A"/>
    <w:rsid w:val="54AE307D"/>
    <w:rsid w:val="54D933CD"/>
    <w:rsid w:val="54EC5A2D"/>
    <w:rsid w:val="54FC70BB"/>
    <w:rsid w:val="55106FCD"/>
    <w:rsid w:val="55177D66"/>
    <w:rsid w:val="55222FC6"/>
    <w:rsid w:val="55264138"/>
    <w:rsid w:val="552A6E5F"/>
    <w:rsid w:val="55344AA7"/>
    <w:rsid w:val="555E38D2"/>
    <w:rsid w:val="55966AA9"/>
    <w:rsid w:val="55A25EB5"/>
    <w:rsid w:val="55B300C2"/>
    <w:rsid w:val="55B94FAC"/>
    <w:rsid w:val="55CF5268"/>
    <w:rsid w:val="55D15936"/>
    <w:rsid w:val="55DA52DF"/>
    <w:rsid w:val="56241244"/>
    <w:rsid w:val="56334D5F"/>
    <w:rsid w:val="56B92464"/>
    <w:rsid w:val="56F24C1A"/>
    <w:rsid w:val="56F52014"/>
    <w:rsid w:val="57160908"/>
    <w:rsid w:val="57241A12"/>
    <w:rsid w:val="57776ECD"/>
    <w:rsid w:val="57792C45"/>
    <w:rsid w:val="578A30A4"/>
    <w:rsid w:val="57A9177C"/>
    <w:rsid w:val="57C96A24"/>
    <w:rsid w:val="583F3E8F"/>
    <w:rsid w:val="584C64D4"/>
    <w:rsid w:val="5856692C"/>
    <w:rsid w:val="5898534D"/>
    <w:rsid w:val="589C45EC"/>
    <w:rsid w:val="58B32187"/>
    <w:rsid w:val="58B959EF"/>
    <w:rsid w:val="58D02D39"/>
    <w:rsid w:val="58DC4511"/>
    <w:rsid w:val="58F325BC"/>
    <w:rsid w:val="58F9403E"/>
    <w:rsid w:val="590777C4"/>
    <w:rsid w:val="590C3412"/>
    <w:rsid w:val="591F52DC"/>
    <w:rsid w:val="592F6855"/>
    <w:rsid w:val="59301A29"/>
    <w:rsid w:val="593F3A1A"/>
    <w:rsid w:val="594C6863"/>
    <w:rsid w:val="5976568E"/>
    <w:rsid w:val="597A2425"/>
    <w:rsid w:val="598D0C2A"/>
    <w:rsid w:val="59AA2C98"/>
    <w:rsid w:val="59B47F65"/>
    <w:rsid w:val="59B77A55"/>
    <w:rsid w:val="59C503C4"/>
    <w:rsid w:val="59D17C58"/>
    <w:rsid w:val="5A15661A"/>
    <w:rsid w:val="5A851901"/>
    <w:rsid w:val="5AAC3332"/>
    <w:rsid w:val="5ADC2F36"/>
    <w:rsid w:val="5AE900E2"/>
    <w:rsid w:val="5AEC75EB"/>
    <w:rsid w:val="5B24111A"/>
    <w:rsid w:val="5B2C3381"/>
    <w:rsid w:val="5B44356A"/>
    <w:rsid w:val="5B73752C"/>
    <w:rsid w:val="5B865931"/>
    <w:rsid w:val="5B977B3E"/>
    <w:rsid w:val="5BE82147"/>
    <w:rsid w:val="5BEC7E8A"/>
    <w:rsid w:val="5BFA79D4"/>
    <w:rsid w:val="5C041FF7"/>
    <w:rsid w:val="5C185423"/>
    <w:rsid w:val="5C241CA0"/>
    <w:rsid w:val="5C6520CD"/>
    <w:rsid w:val="5C7906B8"/>
    <w:rsid w:val="5C7B4114"/>
    <w:rsid w:val="5C910A31"/>
    <w:rsid w:val="5CBD5382"/>
    <w:rsid w:val="5CE768A3"/>
    <w:rsid w:val="5CEE0785"/>
    <w:rsid w:val="5D0D559B"/>
    <w:rsid w:val="5D4635C9"/>
    <w:rsid w:val="5D4B3F6A"/>
    <w:rsid w:val="5D5932FD"/>
    <w:rsid w:val="5D706898"/>
    <w:rsid w:val="5DF64737"/>
    <w:rsid w:val="5E257683"/>
    <w:rsid w:val="5E541D16"/>
    <w:rsid w:val="5E6477F1"/>
    <w:rsid w:val="5E7428F7"/>
    <w:rsid w:val="5E9860A7"/>
    <w:rsid w:val="5EA70098"/>
    <w:rsid w:val="5ECF6BD5"/>
    <w:rsid w:val="5EEE3F19"/>
    <w:rsid w:val="5EF77271"/>
    <w:rsid w:val="5F3833E6"/>
    <w:rsid w:val="5F4E6765"/>
    <w:rsid w:val="5F5860C7"/>
    <w:rsid w:val="5F8623A3"/>
    <w:rsid w:val="5F8E1258"/>
    <w:rsid w:val="5F951DC5"/>
    <w:rsid w:val="5FB07420"/>
    <w:rsid w:val="5FE94095"/>
    <w:rsid w:val="5FF84F72"/>
    <w:rsid w:val="60290287"/>
    <w:rsid w:val="60326087"/>
    <w:rsid w:val="6037544B"/>
    <w:rsid w:val="603C0CB4"/>
    <w:rsid w:val="603E2C7E"/>
    <w:rsid w:val="604C4F0B"/>
    <w:rsid w:val="607641C6"/>
    <w:rsid w:val="60787F3E"/>
    <w:rsid w:val="60A463A0"/>
    <w:rsid w:val="61083476"/>
    <w:rsid w:val="610C1869"/>
    <w:rsid w:val="610E40E0"/>
    <w:rsid w:val="611E72F1"/>
    <w:rsid w:val="615564D1"/>
    <w:rsid w:val="61783F6D"/>
    <w:rsid w:val="61817460"/>
    <w:rsid w:val="6186668A"/>
    <w:rsid w:val="61882403"/>
    <w:rsid w:val="619743F4"/>
    <w:rsid w:val="61A304D2"/>
    <w:rsid w:val="61BA0EF9"/>
    <w:rsid w:val="61BD1113"/>
    <w:rsid w:val="61BD7FAE"/>
    <w:rsid w:val="61C316DA"/>
    <w:rsid w:val="61D218D0"/>
    <w:rsid w:val="61D75138"/>
    <w:rsid w:val="623B7475"/>
    <w:rsid w:val="623E788B"/>
    <w:rsid w:val="624D0F56"/>
    <w:rsid w:val="62682234"/>
    <w:rsid w:val="626B0982"/>
    <w:rsid w:val="626F5454"/>
    <w:rsid w:val="62740BD9"/>
    <w:rsid w:val="62764951"/>
    <w:rsid w:val="62797F9D"/>
    <w:rsid w:val="627F39D6"/>
    <w:rsid w:val="628F0475"/>
    <w:rsid w:val="62D17DD9"/>
    <w:rsid w:val="62E30C79"/>
    <w:rsid w:val="630F26B0"/>
    <w:rsid w:val="631B23B9"/>
    <w:rsid w:val="632B0E34"/>
    <w:rsid w:val="632F3030"/>
    <w:rsid w:val="633F5BB1"/>
    <w:rsid w:val="634766B8"/>
    <w:rsid w:val="635A70D2"/>
    <w:rsid w:val="63690012"/>
    <w:rsid w:val="637D1D0F"/>
    <w:rsid w:val="637D5ECB"/>
    <w:rsid w:val="63A92B04"/>
    <w:rsid w:val="63AD43A2"/>
    <w:rsid w:val="63B90DF4"/>
    <w:rsid w:val="63BE035D"/>
    <w:rsid w:val="63D7141F"/>
    <w:rsid w:val="63EB4ECB"/>
    <w:rsid w:val="63FB3908"/>
    <w:rsid w:val="64095351"/>
    <w:rsid w:val="640B10C9"/>
    <w:rsid w:val="641A5DB6"/>
    <w:rsid w:val="647D0C19"/>
    <w:rsid w:val="64862A0E"/>
    <w:rsid w:val="64923598"/>
    <w:rsid w:val="64C90978"/>
    <w:rsid w:val="64D140C0"/>
    <w:rsid w:val="64E218C0"/>
    <w:rsid w:val="64F8252C"/>
    <w:rsid w:val="652A37D1"/>
    <w:rsid w:val="6532706E"/>
    <w:rsid w:val="65402FF4"/>
    <w:rsid w:val="65426D6C"/>
    <w:rsid w:val="6546685C"/>
    <w:rsid w:val="654F6221"/>
    <w:rsid w:val="656A1E1F"/>
    <w:rsid w:val="656B0071"/>
    <w:rsid w:val="657A6506"/>
    <w:rsid w:val="658C6239"/>
    <w:rsid w:val="65C23A09"/>
    <w:rsid w:val="65CD326E"/>
    <w:rsid w:val="65DE47CF"/>
    <w:rsid w:val="65F56B8B"/>
    <w:rsid w:val="660109D5"/>
    <w:rsid w:val="660F66C6"/>
    <w:rsid w:val="66157FDD"/>
    <w:rsid w:val="661E50E3"/>
    <w:rsid w:val="662B7800"/>
    <w:rsid w:val="66372649"/>
    <w:rsid w:val="66415276"/>
    <w:rsid w:val="665054B9"/>
    <w:rsid w:val="666176C6"/>
    <w:rsid w:val="66632270"/>
    <w:rsid w:val="66670A93"/>
    <w:rsid w:val="66763171"/>
    <w:rsid w:val="668F4233"/>
    <w:rsid w:val="66D71736"/>
    <w:rsid w:val="66DA46D0"/>
    <w:rsid w:val="66E300DB"/>
    <w:rsid w:val="66FF144C"/>
    <w:rsid w:val="67000C8D"/>
    <w:rsid w:val="67006EDF"/>
    <w:rsid w:val="67184D64"/>
    <w:rsid w:val="674E7C4A"/>
    <w:rsid w:val="6772366B"/>
    <w:rsid w:val="678A327B"/>
    <w:rsid w:val="67905051"/>
    <w:rsid w:val="67931B01"/>
    <w:rsid w:val="67F21ABA"/>
    <w:rsid w:val="68A452E5"/>
    <w:rsid w:val="68AB2E7A"/>
    <w:rsid w:val="68BD1EDB"/>
    <w:rsid w:val="68F14DAE"/>
    <w:rsid w:val="68F43681"/>
    <w:rsid w:val="68F73B28"/>
    <w:rsid w:val="68FC5484"/>
    <w:rsid w:val="69007E07"/>
    <w:rsid w:val="69076303"/>
    <w:rsid w:val="69290363"/>
    <w:rsid w:val="69540E1C"/>
    <w:rsid w:val="6991773D"/>
    <w:rsid w:val="699F29DF"/>
    <w:rsid w:val="69B804DD"/>
    <w:rsid w:val="69F60125"/>
    <w:rsid w:val="69F97B76"/>
    <w:rsid w:val="6A0E1913"/>
    <w:rsid w:val="6A116D0D"/>
    <w:rsid w:val="6A203C70"/>
    <w:rsid w:val="6A2674F0"/>
    <w:rsid w:val="6A2922A9"/>
    <w:rsid w:val="6A3053E5"/>
    <w:rsid w:val="6A333127"/>
    <w:rsid w:val="6A696B49"/>
    <w:rsid w:val="6A6B0B13"/>
    <w:rsid w:val="6A6D03E7"/>
    <w:rsid w:val="6A843983"/>
    <w:rsid w:val="6AAC2F2E"/>
    <w:rsid w:val="6AB24F1B"/>
    <w:rsid w:val="6AD246EE"/>
    <w:rsid w:val="6B0A032C"/>
    <w:rsid w:val="6B23319C"/>
    <w:rsid w:val="6B7D2142"/>
    <w:rsid w:val="6B9C2BD1"/>
    <w:rsid w:val="6BAA7419"/>
    <w:rsid w:val="6BAE515B"/>
    <w:rsid w:val="6BAF67DE"/>
    <w:rsid w:val="6BC71D79"/>
    <w:rsid w:val="6C172D01"/>
    <w:rsid w:val="6C294735"/>
    <w:rsid w:val="6C2F6DA3"/>
    <w:rsid w:val="6C81017A"/>
    <w:rsid w:val="6C893CFC"/>
    <w:rsid w:val="6C9360FF"/>
    <w:rsid w:val="6CE30E35"/>
    <w:rsid w:val="6CE4695B"/>
    <w:rsid w:val="6CE773ED"/>
    <w:rsid w:val="6D212190"/>
    <w:rsid w:val="6D2B0234"/>
    <w:rsid w:val="6D372F2F"/>
    <w:rsid w:val="6D551352"/>
    <w:rsid w:val="6D617FF6"/>
    <w:rsid w:val="6D6E0893"/>
    <w:rsid w:val="6D6F26C8"/>
    <w:rsid w:val="6D930E43"/>
    <w:rsid w:val="6D9709FA"/>
    <w:rsid w:val="6DCF3167"/>
    <w:rsid w:val="6DF9479C"/>
    <w:rsid w:val="6E1B1716"/>
    <w:rsid w:val="6E22773B"/>
    <w:rsid w:val="6E2711F5"/>
    <w:rsid w:val="6E3A2CD6"/>
    <w:rsid w:val="6E6C6C08"/>
    <w:rsid w:val="6E804461"/>
    <w:rsid w:val="6F0D2199"/>
    <w:rsid w:val="6F2319BD"/>
    <w:rsid w:val="6F311DDC"/>
    <w:rsid w:val="6F490CF7"/>
    <w:rsid w:val="6F667AFB"/>
    <w:rsid w:val="6F8F13F5"/>
    <w:rsid w:val="6F9B1553"/>
    <w:rsid w:val="6FDC62BB"/>
    <w:rsid w:val="702526C1"/>
    <w:rsid w:val="703F47CD"/>
    <w:rsid w:val="705636CC"/>
    <w:rsid w:val="70791048"/>
    <w:rsid w:val="709D754D"/>
    <w:rsid w:val="70C96594"/>
    <w:rsid w:val="70CA3F61"/>
    <w:rsid w:val="70DA1D6D"/>
    <w:rsid w:val="70DA3C5B"/>
    <w:rsid w:val="70EB6E85"/>
    <w:rsid w:val="70ED2282"/>
    <w:rsid w:val="70EE1B56"/>
    <w:rsid w:val="71063344"/>
    <w:rsid w:val="71115527"/>
    <w:rsid w:val="71357785"/>
    <w:rsid w:val="715B3690"/>
    <w:rsid w:val="71632544"/>
    <w:rsid w:val="719830A7"/>
    <w:rsid w:val="71BE43FF"/>
    <w:rsid w:val="71C22A1B"/>
    <w:rsid w:val="71D40D4C"/>
    <w:rsid w:val="71DC7F14"/>
    <w:rsid w:val="71ED1FFD"/>
    <w:rsid w:val="720F447A"/>
    <w:rsid w:val="72206CBB"/>
    <w:rsid w:val="723E08BB"/>
    <w:rsid w:val="724203AC"/>
    <w:rsid w:val="724F2AC9"/>
    <w:rsid w:val="72621065"/>
    <w:rsid w:val="72930C07"/>
    <w:rsid w:val="72A44BC2"/>
    <w:rsid w:val="72C2773E"/>
    <w:rsid w:val="732A002F"/>
    <w:rsid w:val="732B7092"/>
    <w:rsid w:val="735E0012"/>
    <w:rsid w:val="73770529"/>
    <w:rsid w:val="738844E4"/>
    <w:rsid w:val="738B5D82"/>
    <w:rsid w:val="73A8656E"/>
    <w:rsid w:val="73DD4830"/>
    <w:rsid w:val="73FA5DFE"/>
    <w:rsid w:val="7408640A"/>
    <w:rsid w:val="7416389E"/>
    <w:rsid w:val="74181470"/>
    <w:rsid w:val="742D0BE7"/>
    <w:rsid w:val="74625AA0"/>
    <w:rsid w:val="74634007"/>
    <w:rsid w:val="74846D19"/>
    <w:rsid w:val="74BE0A23"/>
    <w:rsid w:val="74D215F5"/>
    <w:rsid w:val="74E2669F"/>
    <w:rsid w:val="75214286"/>
    <w:rsid w:val="757F1917"/>
    <w:rsid w:val="75A1363B"/>
    <w:rsid w:val="75BE3FFD"/>
    <w:rsid w:val="75D74C81"/>
    <w:rsid w:val="76092991"/>
    <w:rsid w:val="7614205F"/>
    <w:rsid w:val="761F46AC"/>
    <w:rsid w:val="762D4ECF"/>
    <w:rsid w:val="76315255"/>
    <w:rsid w:val="76484C52"/>
    <w:rsid w:val="764B0538"/>
    <w:rsid w:val="76805946"/>
    <w:rsid w:val="768947FB"/>
    <w:rsid w:val="768F7938"/>
    <w:rsid w:val="76930BC2"/>
    <w:rsid w:val="769778EA"/>
    <w:rsid w:val="76EA4F5D"/>
    <w:rsid w:val="774626EC"/>
    <w:rsid w:val="776963DA"/>
    <w:rsid w:val="77866F8C"/>
    <w:rsid w:val="77932E6E"/>
    <w:rsid w:val="77C16217"/>
    <w:rsid w:val="77CE623E"/>
    <w:rsid w:val="781641CB"/>
    <w:rsid w:val="78282311"/>
    <w:rsid w:val="785706F8"/>
    <w:rsid w:val="786C7F30"/>
    <w:rsid w:val="787E7C64"/>
    <w:rsid w:val="78872FBC"/>
    <w:rsid w:val="788A6608"/>
    <w:rsid w:val="78961451"/>
    <w:rsid w:val="78C7613E"/>
    <w:rsid w:val="78CE2999"/>
    <w:rsid w:val="79101392"/>
    <w:rsid w:val="7919533D"/>
    <w:rsid w:val="79A14858"/>
    <w:rsid w:val="79B24069"/>
    <w:rsid w:val="79D173CF"/>
    <w:rsid w:val="79D264B9"/>
    <w:rsid w:val="79E166FC"/>
    <w:rsid w:val="79E65AC0"/>
    <w:rsid w:val="79EC7716"/>
    <w:rsid w:val="79F20909"/>
    <w:rsid w:val="7A0B5527"/>
    <w:rsid w:val="7A2E1215"/>
    <w:rsid w:val="7A2F56B9"/>
    <w:rsid w:val="7A394B21"/>
    <w:rsid w:val="7A4549D8"/>
    <w:rsid w:val="7A6C3FF1"/>
    <w:rsid w:val="7A786784"/>
    <w:rsid w:val="7A8E7F0B"/>
    <w:rsid w:val="7A903C7E"/>
    <w:rsid w:val="7AA608F2"/>
    <w:rsid w:val="7ABE07EB"/>
    <w:rsid w:val="7AE62FA5"/>
    <w:rsid w:val="7B114DBF"/>
    <w:rsid w:val="7B2368A0"/>
    <w:rsid w:val="7B242D44"/>
    <w:rsid w:val="7B3E48AE"/>
    <w:rsid w:val="7B494559"/>
    <w:rsid w:val="7B4A207F"/>
    <w:rsid w:val="7B587A97"/>
    <w:rsid w:val="7B951326"/>
    <w:rsid w:val="7BAC4AE8"/>
    <w:rsid w:val="7BB14AB9"/>
    <w:rsid w:val="7BBD6A93"/>
    <w:rsid w:val="7BC9569A"/>
    <w:rsid w:val="7C042B76"/>
    <w:rsid w:val="7C1903CF"/>
    <w:rsid w:val="7C1A5EF5"/>
    <w:rsid w:val="7C2E028A"/>
    <w:rsid w:val="7C5710D8"/>
    <w:rsid w:val="7C7224A7"/>
    <w:rsid w:val="7C794503"/>
    <w:rsid w:val="7C833A9B"/>
    <w:rsid w:val="7C9E08D4"/>
    <w:rsid w:val="7C9E2682"/>
    <w:rsid w:val="7CA13F21"/>
    <w:rsid w:val="7CCA16C9"/>
    <w:rsid w:val="7CFB1883"/>
    <w:rsid w:val="7D2F3C22"/>
    <w:rsid w:val="7D3F0763"/>
    <w:rsid w:val="7D472D1A"/>
    <w:rsid w:val="7D4D56FF"/>
    <w:rsid w:val="7D6513F2"/>
    <w:rsid w:val="7D9D7CDC"/>
    <w:rsid w:val="7DE74669"/>
    <w:rsid w:val="7DF74740"/>
    <w:rsid w:val="7E1075B0"/>
    <w:rsid w:val="7E1370A0"/>
    <w:rsid w:val="7E266DD3"/>
    <w:rsid w:val="7E394D59"/>
    <w:rsid w:val="7E4A299F"/>
    <w:rsid w:val="7E4F012F"/>
    <w:rsid w:val="7E521976"/>
    <w:rsid w:val="7E53749D"/>
    <w:rsid w:val="7E5673E4"/>
    <w:rsid w:val="7E9C119C"/>
    <w:rsid w:val="7ED14F91"/>
    <w:rsid w:val="7ED71E7C"/>
    <w:rsid w:val="7EEB17D0"/>
    <w:rsid w:val="7F4952B0"/>
    <w:rsid w:val="7F603797"/>
    <w:rsid w:val="7F9A1827"/>
    <w:rsid w:val="7F9D1317"/>
    <w:rsid w:val="7FA26EA9"/>
    <w:rsid w:val="7FB50141"/>
    <w:rsid w:val="7FCD67B2"/>
    <w:rsid w:val="7FD01C38"/>
    <w:rsid w:val="7FD04E7B"/>
    <w:rsid w:val="7FE857B1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ind w:firstLine="6720" w:firstLineChars="800"/>
      <w:outlineLvl w:val="0"/>
    </w:pPr>
    <w:rPr>
      <w:kern w:val="0"/>
      <w:sz w:val="20"/>
      <w:szCs w:val="20"/>
    </w:rPr>
  </w:style>
  <w:style w:type="paragraph" w:styleId="3">
    <w:name w:val="heading 2"/>
    <w:basedOn w:val="1"/>
    <w:next w:val="1"/>
    <w:link w:val="23"/>
    <w:qFormat/>
    <w:uiPriority w:val="99"/>
    <w:pPr>
      <w:keepNext/>
      <w:jc w:val="center"/>
      <w:outlineLvl w:val="1"/>
    </w:pPr>
    <w:rPr>
      <w:kern w:val="0"/>
      <w:sz w:val="20"/>
      <w:szCs w:val="20"/>
    </w:rPr>
  </w:style>
  <w:style w:type="paragraph" w:styleId="4">
    <w:name w:val="heading 3"/>
    <w:basedOn w:val="1"/>
    <w:next w:val="1"/>
    <w:link w:val="24"/>
    <w:qFormat/>
    <w:uiPriority w:val="99"/>
    <w:pPr>
      <w:keepNext/>
      <w:outlineLvl w:val="2"/>
    </w:pPr>
    <w:rPr>
      <w:kern w:val="0"/>
      <w:sz w:val="20"/>
      <w:szCs w:val="20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5"/>
    <w:unhideWhenUsed/>
    <w:qFormat/>
    <w:uiPriority w:val="99"/>
    <w:pPr>
      <w:jc w:val="left"/>
    </w:pPr>
  </w:style>
  <w:style w:type="paragraph" w:styleId="6">
    <w:name w:val="Block Text"/>
    <w:basedOn w:val="1"/>
    <w:qFormat/>
    <w:uiPriority w:val="0"/>
    <w:pPr>
      <w:ind w:left="-1418" w:right="-1558" w:firstLine="1418"/>
    </w:pPr>
    <w:rPr>
      <w:sz w:val="28"/>
      <w:szCs w:val="20"/>
    </w:rPr>
  </w:style>
  <w:style w:type="paragraph" w:styleId="7">
    <w:name w:val="Plain Text"/>
    <w:basedOn w:val="1"/>
    <w:link w:val="26"/>
    <w:qFormat/>
    <w:uiPriority w:val="0"/>
    <w:rPr>
      <w:rFonts w:ascii="宋体" w:hAnsi="Courier New"/>
      <w:szCs w:val="20"/>
    </w:rPr>
  </w:style>
  <w:style w:type="paragraph" w:styleId="8">
    <w:name w:val="Date"/>
    <w:basedOn w:val="1"/>
    <w:next w:val="1"/>
    <w:link w:val="27"/>
    <w:qFormat/>
    <w:uiPriority w:val="99"/>
    <w:pPr>
      <w:ind w:left="100" w:leftChars="2500"/>
    </w:pPr>
    <w:rPr>
      <w:kern w:val="0"/>
      <w:sz w:val="24"/>
      <w:szCs w:val="24"/>
    </w:rPr>
  </w:style>
  <w:style w:type="paragraph" w:styleId="9">
    <w:name w:val="Balloon Text"/>
    <w:basedOn w:val="1"/>
    <w:link w:val="28"/>
    <w:semiHidden/>
    <w:qFormat/>
    <w:uiPriority w:val="99"/>
    <w:rPr>
      <w:rFonts w:eastAsia="仿宋_GB2312"/>
      <w:kern w:val="0"/>
      <w:sz w:val="18"/>
      <w:szCs w:val="18"/>
    </w:rPr>
  </w:style>
  <w:style w:type="paragraph" w:styleId="10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toc 1"/>
    <w:basedOn w:val="1"/>
    <w:next w:val="1"/>
    <w:qFormat/>
    <w:locked/>
    <w:uiPriority w:val="39"/>
  </w:style>
  <w:style w:type="paragraph" w:styleId="13">
    <w:name w:val="toc 2"/>
    <w:basedOn w:val="1"/>
    <w:next w:val="1"/>
    <w:qFormat/>
    <w:locked/>
    <w:uiPriority w:val="39"/>
    <w:pPr>
      <w:ind w:left="420" w:leftChars="200"/>
    </w:pPr>
    <w:rPr>
      <w:szCs w:val="24"/>
    </w:r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annotation subject"/>
    <w:basedOn w:val="5"/>
    <w:next w:val="5"/>
    <w:link w:val="31"/>
    <w:unhideWhenUsed/>
    <w:qFormat/>
    <w:uiPriority w:val="99"/>
    <w:rPr>
      <w:b/>
      <w:bCs/>
    </w:rPr>
  </w:style>
  <w:style w:type="table" w:styleId="17">
    <w:name w:val="Table Grid"/>
    <w:basedOn w:val="16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qFormat/>
    <w:uiPriority w:val="99"/>
    <w:rPr>
      <w:rFonts w:eastAsia="仿宋_GB2312"/>
      <w:sz w:val="24"/>
      <w:szCs w:val="24"/>
    </w:r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unhideWhenUsed/>
    <w:qFormat/>
    <w:uiPriority w:val="99"/>
    <w:rPr>
      <w:sz w:val="21"/>
      <w:szCs w:val="21"/>
    </w:rPr>
  </w:style>
  <w:style w:type="character" w:customStyle="1" w:styleId="22">
    <w:name w:val="标题 1 字符"/>
    <w:link w:val="2"/>
    <w:qFormat/>
    <w:locked/>
    <w:uiPriority w:val="99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23">
    <w:name w:val="标题 2 字符"/>
    <w:link w:val="3"/>
    <w:qFormat/>
    <w:locked/>
    <w:uiPriority w:val="99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24">
    <w:name w:val="标题 3 字符"/>
    <w:link w:val="4"/>
    <w:qFormat/>
    <w:locked/>
    <w:uiPriority w:val="99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25">
    <w:name w:val="批注文字 字符"/>
    <w:link w:val="5"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26">
    <w:name w:val="纯文本 字符"/>
    <w:link w:val="7"/>
    <w:qFormat/>
    <w:uiPriority w:val="0"/>
    <w:rPr>
      <w:rFonts w:ascii="宋体" w:hAnsi="Courier New"/>
      <w:kern w:val="2"/>
      <w:sz w:val="21"/>
    </w:rPr>
  </w:style>
  <w:style w:type="character" w:customStyle="1" w:styleId="27">
    <w:name w:val="日期 字符"/>
    <w:link w:val="8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8">
    <w:name w:val="批注框文本 字符"/>
    <w:link w:val="9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29">
    <w:name w:val="页脚 字符"/>
    <w:link w:val="10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页眉 字符"/>
    <w:link w:val="11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批注主题 字符"/>
    <w:link w:val="15"/>
    <w:semiHidden/>
    <w:qFormat/>
    <w:uiPriority w:val="99"/>
    <w:rPr>
      <w:rFonts w:ascii="Times New Roman" w:hAnsi="Times New Roman"/>
      <w:b/>
      <w:bCs/>
      <w:kern w:val="2"/>
      <w:sz w:val="21"/>
      <w:szCs w:val="21"/>
    </w:rPr>
  </w:style>
  <w:style w:type="character" w:customStyle="1" w:styleId="32">
    <w:name w:val="Date Char1"/>
    <w:semiHidden/>
    <w:qFormat/>
    <w:uiPriority w:val="99"/>
    <w:rPr>
      <w:rFonts w:ascii="Times New Roman" w:hAnsi="Times New Roman"/>
      <w:szCs w:val="21"/>
    </w:rPr>
  </w:style>
  <w:style w:type="character" w:customStyle="1" w:styleId="33">
    <w:name w:val="日期 Char1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34">
    <w:name w:val="Footer Char1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35">
    <w:name w:val="页脚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Header Char1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37">
    <w:name w:val="页眉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8">
    <w:name w:val="Char Char Char Char Char Char Char Char Char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character" w:styleId="39">
    <w:name w:val="Placeholder Text"/>
    <w:semiHidden/>
    <w:qFormat/>
    <w:uiPriority w:val="99"/>
    <w:rPr>
      <w:rFonts w:eastAsia="仿宋_GB2312"/>
      <w:color w:val="808080"/>
      <w:sz w:val="24"/>
      <w:szCs w:val="24"/>
    </w:rPr>
  </w:style>
  <w:style w:type="paragraph" w:customStyle="1" w:styleId="40">
    <w:name w:val="默认段落字体 Para Char"/>
    <w:basedOn w:val="1"/>
    <w:qFormat/>
    <w:uiPriority w:val="0"/>
    <w:rPr>
      <w:rFonts w:ascii="Tahoma" w:hAnsi="Tahoma"/>
      <w:iCs/>
      <w:sz w:val="24"/>
      <w:szCs w:val="20"/>
    </w:rPr>
  </w:style>
  <w:style w:type="paragraph" w:customStyle="1" w:styleId="41">
    <w:name w:val="Char"/>
    <w:basedOn w:val="1"/>
    <w:qFormat/>
    <w:uiPriority w:val="0"/>
    <w:rPr>
      <w:szCs w:val="24"/>
    </w:rPr>
  </w:style>
  <w:style w:type="paragraph" w:customStyle="1" w:styleId="42">
    <w:name w:val="_Style 41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43">
    <w:name w:val="标准文件_段"/>
    <w:qFormat/>
    <w:uiPriority w:val="0"/>
    <w:pPr>
      <w:autoSpaceDE w:val="0"/>
      <w:autoSpaceDN w:val="0"/>
      <w:spacing w:line="360" w:lineRule="auto"/>
      <w:ind w:firstLine="560" w:firstLineChars="200"/>
    </w:pPr>
    <w:rPr>
      <w:rFonts w:ascii="Times New Roman" w:hAnsi="Times New Roman" w:eastAsia="黑体" w:cs="Times New Roman"/>
      <w:spacing w:val="2"/>
      <w:sz w:val="24"/>
      <w:szCs w:val="24"/>
      <w:lang w:val="en-US" w:eastAsia="zh-CN" w:bidi="ar-SA"/>
    </w:rPr>
  </w:style>
  <w:style w:type="character" w:customStyle="1" w:styleId="44">
    <w:name w:val="font31"/>
    <w:basedOn w:val="18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45">
    <w:name w:val="font61"/>
    <w:basedOn w:val="18"/>
    <w:autoRedefine/>
    <w:qFormat/>
    <w:uiPriority w:val="0"/>
    <w:rPr>
      <w:rFonts w:hint="default" w:ascii="Times New Roman" w:hAnsi="Times New Roman" w:cs="Times New Roman"/>
      <w:i/>
      <w:iCs/>
      <w:color w:val="000000"/>
      <w:sz w:val="22"/>
      <w:szCs w:val="22"/>
      <w:u w:val="none"/>
    </w:rPr>
  </w:style>
  <w:style w:type="character" w:customStyle="1" w:styleId="46">
    <w:name w:val="font41"/>
    <w:basedOn w:val="18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47">
    <w:name w:val="font01"/>
    <w:basedOn w:val="18"/>
    <w:autoRedefine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48">
    <w:name w:val="font51"/>
    <w:basedOn w:val="18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  <w:vertAlign w:val="subscript"/>
    </w:rPr>
  </w:style>
  <w:style w:type="paragraph" w:customStyle="1" w:styleId="49">
    <w:name w:val="列出段落1"/>
    <w:basedOn w:val="1"/>
    <w:qFormat/>
    <w:uiPriority w:val="34"/>
    <w:pPr>
      <w:ind w:firstLine="420" w:firstLineChars="200"/>
    </w:pPr>
  </w:style>
  <w:style w:type="paragraph" w:customStyle="1" w:styleId="50">
    <w:name w:val="正文1"/>
    <w:basedOn w:val="1"/>
    <w:autoRedefine/>
    <w:qFormat/>
    <w:uiPriority w:val="0"/>
    <w:pPr>
      <w:spacing w:line="360" w:lineRule="auto"/>
      <w:ind w:firstLine="480" w:firstLineChars="200"/>
    </w:pPr>
    <w:rPr>
      <w:rFonts w:ascii="Times New Roman" w:hAnsi="Times New Roman" w:eastAsia="宋体"/>
      <w:sz w:val="24"/>
      <w:szCs w:val="21"/>
    </w:rPr>
  </w:style>
  <w:style w:type="paragraph" w:customStyle="1" w:styleId="51">
    <w:name w:val="单位靠右"/>
    <w:basedOn w:val="52"/>
    <w:autoRedefine/>
    <w:qFormat/>
    <w:uiPriority w:val="0"/>
    <w:rPr>
      <w:rFonts w:eastAsiaTheme="minorEastAsia"/>
      <w:bCs/>
    </w:rPr>
  </w:style>
  <w:style w:type="paragraph" w:customStyle="1" w:styleId="52">
    <w:name w:val="公式靠右"/>
    <w:basedOn w:val="50"/>
    <w:autoRedefine/>
    <w:qFormat/>
    <w:uiPriority w:val="0"/>
    <w:pPr>
      <w:ind w:firstLine="420"/>
      <w:jc w:val="right"/>
    </w:pPr>
    <w:rPr>
      <w:position w:val="-30"/>
      <w:sz w:val="21"/>
    </w:rPr>
  </w:style>
  <w:style w:type="character" w:customStyle="1" w:styleId="53">
    <w:name w:val="font11"/>
    <w:basedOn w:val="1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54">
    <w:name w:val="font21"/>
    <w:basedOn w:val="1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4.wmf"/><Relationship Id="rId18" Type="http://schemas.openxmlformats.org/officeDocument/2006/relationships/oleObject" Target="embeddings/oleObject1.bin"/><Relationship Id="rId17" Type="http://schemas.openxmlformats.org/officeDocument/2006/relationships/image" Target="media/image3.png"/><Relationship Id="rId16" Type="http://schemas.openxmlformats.org/officeDocument/2006/relationships/image" Target="media/image2.wmf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17</Pages>
  <Words>4131</Words>
  <Characters>5092</Characters>
  <Lines>50</Lines>
  <Paragraphs>24</Paragraphs>
  <TotalTime>2</TotalTime>
  <ScaleCrop>false</ScaleCrop>
  <LinksUpToDate>false</LinksUpToDate>
  <CharactersWithSpaces>5943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2022-10-24T02:04:00Z</dcterms:created>
  <dc:creator>FHX</dc:creator>
  <cp:lastModifiedBy>Bruis Kim</cp:lastModifiedBy>
  <cp:lastPrinted>2024-04-28T07:56:00Z</cp:lastPrinted>
  <dcterms:modified xsi:type="dcterms:W3CDTF">2025-09-15T14:34:07Z</dcterms:modified>
  <dc:title>中国测试技术研究院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ECBA3C3FF7C04B7F8F3650A54927D19A_13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